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11145ecc24d44e7973b39847a3d343b"/>
        <w:id w:val="-1267615317"/>
        <w:lock w:val="sdtLocked"/>
      </w:sdtPr>
      <w:sdtEndPr/>
      <w:sdtContent>
        <w:p w14:paraId="6CE2E07B" w14:textId="77777777" w:rsidR="0093108A" w:rsidRDefault="0093108A">
          <w:pPr>
            <w:jc w:val="center"/>
            <w:rPr>
              <w:lang w:eastAsia="lt-LT"/>
            </w:rPr>
          </w:pPr>
        </w:p>
        <w:p w14:paraId="6CE2E07C" w14:textId="77777777" w:rsidR="0093108A" w:rsidRDefault="0093108A">
          <w:pPr>
            <w:jc w:val="center"/>
            <w:rPr>
              <w:lang w:eastAsia="lt-LT"/>
            </w:rPr>
          </w:pPr>
        </w:p>
        <w:p w14:paraId="6CE2E07D" w14:textId="77777777" w:rsidR="0093108A" w:rsidRDefault="0038476C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6CE2E0C2" wp14:editId="6CE2E0C3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E2E07E" w14:textId="77777777" w:rsidR="0093108A" w:rsidRDefault="0093108A">
          <w:pPr>
            <w:rPr>
              <w:sz w:val="10"/>
              <w:szCs w:val="10"/>
            </w:rPr>
          </w:pPr>
        </w:p>
        <w:p w14:paraId="6CE2E07F" w14:textId="77777777" w:rsidR="0093108A" w:rsidRDefault="0038476C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6CE2E080" w14:textId="77777777" w:rsidR="0093108A" w:rsidRDefault="0093108A">
          <w:pPr>
            <w:jc w:val="center"/>
            <w:rPr>
              <w:caps/>
              <w:lang w:eastAsia="lt-LT"/>
            </w:rPr>
          </w:pPr>
        </w:p>
        <w:p w14:paraId="6CE2E081" w14:textId="77777777" w:rsidR="0093108A" w:rsidRDefault="0038476C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6CE2E082" w14:textId="77777777" w:rsidR="0093108A" w:rsidRDefault="0038476C">
          <w:pPr>
            <w:tabs>
              <w:tab w:val="left" w:pos="680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bCs/>
              <w:caps/>
              <w:szCs w:val="24"/>
              <w:lang w:eastAsia="lt-LT"/>
            </w:rPr>
            <w:t xml:space="preserve">Lietuvos Respublikos Vyriausybės 2000 m. gruodžio 15 d. Nutarimo nr. 1458 „Dėl konkrečių Valstybės Rinkliavos dydžių ir šios </w:t>
          </w:r>
          <w:r>
            <w:rPr>
              <w:b/>
              <w:bCs/>
              <w:caps/>
              <w:szCs w:val="24"/>
              <w:lang w:eastAsia="lt-LT"/>
            </w:rPr>
            <w:t>rinkliavos mokėjimo ir grąžinimo taisyklių patvirtinimo“ pakeitimo</w:t>
          </w:r>
        </w:p>
        <w:p w14:paraId="6CE2E083" w14:textId="77777777" w:rsidR="0093108A" w:rsidRDefault="0093108A">
          <w:pPr>
            <w:tabs>
              <w:tab w:val="left" w:pos="6804"/>
            </w:tabs>
            <w:rPr>
              <w:lang w:eastAsia="lt-LT"/>
            </w:rPr>
          </w:pPr>
        </w:p>
        <w:p w14:paraId="6CE2E084" w14:textId="3077E2ED" w:rsidR="0093108A" w:rsidRDefault="0038476C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2014 m. birželio 11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533</w:t>
          </w:r>
          <w:r>
            <w:rPr>
              <w:color w:val="000000"/>
              <w:lang w:eastAsia="ar-SA"/>
            </w:rPr>
            <w:br/>
            <w:t>Vilnius</w:t>
          </w:r>
        </w:p>
        <w:p w14:paraId="6CE2E085" w14:textId="77777777" w:rsidR="0093108A" w:rsidRDefault="0093108A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74745e1bda1e432f871658b762524074"/>
            <w:id w:val="1947579689"/>
            <w:lock w:val="sdtLocked"/>
          </w:sdtPr>
          <w:sdtEndPr/>
          <w:sdtContent>
            <w:p w14:paraId="6CE2E086" w14:textId="77777777" w:rsidR="0093108A" w:rsidRDefault="0038476C">
              <w:pPr>
                <w:tabs>
                  <w:tab w:val="left" w:pos="6237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rPr>
              <w:kern w:val="3"/>
              <w:szCs w:val="24"/>
              <w:lang w:eastAsia="lt-LT"/>
            </w:rPr>
            <w:alias w:val="pastraipa"/>
            <w:tag w:val="part_6b0732d9659f4e10adc2169bff5a2e53"/>
            <w:id w:val="245386626"/>
            <w:lock w:val="sdtLocked"/>
            <w:placeholder>
              <w:docPart w:val="DefaultPlaceholder_1082065158"/>
            </w:placeholder>
          </w:sdtPr>
          <w:sdtEndPr>
            <w:rPr>
              <w:kern w:val="0"/>
              <w:szCs w:val="20"/>
              <w:lang w:eastAsia="en-US"/>
            </w:rPr>
          </w:sdtEndPr>
          <w:sdtContent>
            <w:p w14:paraId="6CE2E087" w14:textId="264D8766" w:rsidR="0093108A" w:rsidRDefault="0038476C">
              <w:pPr>
                <w:suppressAutoHyphens/>
                <w:spacing w:line="360" w:lineRule="atLeast"/>
                <w:ind w:firstLine="720"/>
                <w:jc w:val="both"/>
                <w:rPr>
                  <w:kern w:val="3"/>
                  <w:szCs w:val="24"/>
                  <w:lang w:eastAsia="lt-LT"/>
                </w:rPr>
              </w:pPr>
              <w:r>
                <w:rPr>
                  <w:kern w:val="3"/>
                  <w:szCs w:val="24"/>
                  <w:lang w:eastAsia="lt-LT"/>
                </w:rPr>
                <w:t>Pakeisti konkrečius valstybės rinkliavos dydžius, patvirtintus Lietuvos Respublikos Vyriausybės 2000 m. gruodži</w:t>
              </w:r>
              <w:r>
                <w:rPr>
                  <w:kern w:val="3"/>
                  <w:szCs w:val="24"/>
                  <w:lang w:eastAsia="lt-LT"/>
                </w:rPr>
                <w:t>o 15 d. nutarimu Nr. 1458 „Dėl konkrečių valstybės rinkliavos dydžių ir šios rinkliavos mokėjimo ir grąžinimo taisyklių patvirtinimo“, ir išdėstyti 4.92</w:t>
              </w:r>
              <w:r>
                <w:rPr>
                  <w:kern w:val="3"/>
                  <w:szCs w:val="24"/>
                  <w:vertAlign w:val="superscript"/>
                  <w:lang w:eastAsia="lt-LT"/>
                </w:rPr>
                <w:t>4</w:t>
              </w:r>
              <w:r>
                <w:rPr>
                  <w:kern w:val="3"/>
                  <w:szCs w:val="24"/>
                  <w:lang w:eastAsia="lt-LT"/>
                </w:rPr>
                <w:t> papunktį taip:</w:t>
              </w:r>
            </w:p>
            <w:p w14:paraId="6CE2E088" w14:textId="02496522" w:rsidR="0093108A" w:rsidRDefault="0093108A">
              <w:pPr>
                <w:rPr>
                  <w:sz w:val="10"/>
                  <w:szCs w:val="10"/>
                </w:rPr>
              </w:pPr>
            </w:p>
            <w:bookmarkStart w:id="0" w:name="_GoBack" w:displacedByCustomXml="next"/>
            <w:sdt>
              <w:sdtPr>
                <w:alias w:val="lentele"/>
                <w:tag w:val="part_d77a6e52c9d448db91564c38c1538b36"/>
                <w:id w:val="2139298270"/>
                <w:lock w:val="sdtLocked"/>
              </w:sdtPr>
              <w:sdtEndPr/>
              <w:sdtContent>
                <w:tbl>
                  <w:tblPr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4819"/>
                    <w:gridCol w:w="2270"/>
                  </w:tblGrid>
                  <w:tr w:rsidR="0093108A" w14:paraId="6CE2E08C" w14:textId="77777777">
                    <w:tc>
                      <w:tcPr>
                        <w:tcW w:w="1276" w:type="dxa"/>
                      </w:tcPr>
                      <w:p w14:paraId="6CE2E089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„4.92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8A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 xml:space="preserve">už paraiškos suteikti atitinkamai produktų grupei ES ekologinį ženklą </w:t>
                        </w:r>
                        <w:r>
                          <w:rPr>
                            <w:bCs/>
                            <w:kern w:val="3"/>
                            <w:szCs w:val="24"/>
                            <w:lang w:eastAsia="lt-LT"/>
                          </w:rPr>
                          <w:t>nagrinėjimą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: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8B" w14:textId="77777777" w:rsidR="0093108A" w:rsidRDefault="0093108A">
                        <w:pPr>
                          <w:tabs>
                            <w:tab w:val="left" w:pos="1701"/>
                          </w:tabs>
                          <w:suppressAutoHyphens/>
                          <w:jc w:val="both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108A" w14:paraId="6CE2E090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8D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.1.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8E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labai mažoms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8F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1 000 litų;</w:t>
                        </w:r>
                      </w:p>
                    </w:tc>
                  </w:tr>
                  <w:tr w:rsidR="0093108A" w14:paraId="6CE2E094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91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.2.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92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mažoms ir vidutinėms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93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1 400 litų;</w:t>
                        </w:r>
                      </w:p>
                    </w:tc>
                  </w:tr>
                  <w:tr w:rsidR="0093108A" w14:paraId="6CE2E098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95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.3.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96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kitiems,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.1 ir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.2 papunkčiuose nenurodytiems, asmenims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97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3 500 litų;</w:t>
                        </w:r>
                      </w:p>
                    </w:tc>
                  </w:tr>
                  <w:tr w:rsidR="0093108A" w14:paraId="6CE2E09C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99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9A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 xml:space="preserve">asmenims, įregistravusiems Bendrijos aplinkosaugos 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vadybos ir audito sistemą (EMAS):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9B" w14:textId="77777777" w:rsidR="0093108A" w:rsidRDefault="0093108A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108A" w14:paraId="6CE2E0A0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9D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.4.1.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9E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labai mažoms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9F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700 litų;</w:t>
                        </w:r>
                      </w:p>
                    </w:tc>
                  </w:tr>
                  <w:tr w:rsidR="0093108A" w14:paraId="6CE2E0A4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A1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.4.2.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A2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mažoms ir vidutinėms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A3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980 litų;</w:t>
                        </w:r>
                      </w:p>
                    </w:tc>
                  </w:tr>
                  <w:tr w:rsidR="0093108A" w14:paraId="6CE2E0A8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A5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.4.3.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A6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kitiems,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.4.1 ir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.4.2 papunkčiuose nenurodytiems, asmenims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A7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2 450 litų;</w:t>
                        </w:r>
                      </w:p>
                    </w:tc>
                  </w:tr>
                  <w:tr w:rsidR="0093108A" w14:paraId="6CE2E0AC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A9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AA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 xml:space="preserve">asmenims, sertifikuotiems pagal </w:t>
                        </w:r>
                        <w:r>
                          <w:rPr>
                            <w:rFonts w:eastAsia="EUAlbertina, EUAlbertina" w:cs="EUAlbertina, EUAlbertina"/>
                            <w:kern w:val="3"/>
                            <w:szCs w:val="24"/>
                            <w:lang w:eastAsia="lt-LT"/>
                          </w:rPr>
                          <w:t>ISO 14001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 xml:space="preserve"> standartą: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AB" w14:textId="77777777" w:rsidR="0093108A" w:rsidRDefault="0093108A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108A" w14:paraId="6CE2E0B0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AD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.5.1.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AE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labai mažoms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AF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850 litų;</w:t>
                        </w:r>
                      </w:p>
                    </w:tc>
                  </w:tr>
                  <w:tr w:rsidR="0093108A" w14:paraId="6CE2E0B4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B1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.5.2.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B2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mažoms ir vidutinėms įmonėms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B3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1 190 litų;</w:t>
                        </w:r>
                      </w:p>
                    </w:tc>
                  </w:tr>
                  <w:tr w:rsidR="0093108A" w14:paraId="6CE2E0B8" w14:textId="77777777">
                    <w:trPr>
                      <w:trHeight w:val="23"/>
                    </w:trPr>
                    <w:tc>
                      <w:tcPr>
                        <w:tcW w:w="1276" w:type="dxa"/>
                      </w:tcPr>
                      <w:p w14:paraId="6CE2E0B5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.5.3.</w:t>
                        </w:r>
                      </w:p>
                    </w:tc>
                    <w:tc>
                      <w:tcPr>
                        <w:tcW w:w="4819" w:type="dxa"/>
                      </w:tcPr>
                      <w:p w14:paraId="6CE2E0B6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kitiems,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.5.1 ir 4.92</w:t>
                        </w:r>
                        <w:r>
                          <w:rPr>
                            <w:kern w:val="3"/>
                            <w:szCs w:val="24"/>
                            <w:vertAlign w:val="superscript"/>
                            <w:lang w:eastAsia="lt-LT"/>
                          </w:rPr>
                          <w:t>4</w:t>
                        </w: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.5.2 papunkčiuose nenurodytiems, asmenims</w:t>
                        </w:r>
                      </w:p>
                    </w:tc>
                    <w:tc>
                      <w:tcPr>
                        <w:tcW w:w="2270" w:type="dxa"/>
                      </w:tcPr>
                      <w:p w14:paraId="6CE2E0B7" w14:textId="77777777" w:rsidR="0093108A" w:rsidRDefault="0038476C">
                        <w:pPr>
                          <w:tabs>
                            <w:tab w:val="left" w:pos="1701"/>
                          </w:tabs>
                          <w:suppressAutoHyphens/>
                          <w:jc w:val="center"/>
                          <w:rPr>
                            <w:kern w:val="3"/>
                            <w:szCs w:val="24"/>
                            <w:lang w:eastAsia="lt-LT"/>
                          </w:rPr>
                        </w:pPr>
                        <w:r>
                          <w:rPr>
                            <w:kern w:val="3"/>
                            <w:szCs w:val="24"/>
                            <w:lang w:eastAsia="lt-LT"/>
                          </w:rPr>
                          <w:t>2 975 litai“.</w:t>
                        </w:r>
                      </w:p>
                    </w:tc>
                  </w:tr>
                </w:tbl>
                <w:p w14:paraId="6CE2E0B9" w14:textId="77777777" w:rsidR="0093108A" w:rsidRDefault="0093108A">
                  <w:pPr>
                    <w:tabs>
                      <w:tab w:val="left" w:pos="6237"/>
                    </w:tabs>
                    <w:rPr>
                      <w:color w:val="000000"/>
                      <w:lang w:eastAsia="lt-LT"/>
                    </w:rPr>
                  </w:pPr>
                </w:p>
                <w:p w14:paraId="6CE2E0BA" w14:textId="77777777" w:rsidR="0093108A" w:rsidRDefault="0093108A">
                  <w:pPr>
                    <w:tabs>
                      <w:tab w:val="left" w:pos="6237"/>
                    </w:tabs>
                    <w:rPr>
                      <w:color w:val="000000"/>
                      <w:lang w:eastAsia="lt-LT"/>
                    </w:rPr>
                  </w:pPr>
                </w:p>
                <w:p w14:paraId="6CE2E0BB" w14:textId="6C1615C1" w:rsidR="0093108A" w:rsidRDefault="0038476C">
                  <w:pPr>
                    <w:tabs>
                      <w:tab w:val="left" w:pos="6237"/>
                    </w:tabs>
                    <w:rPr>
                      <w:color w:val="000000"/>
                      <w:lang w:eastAsia="lt-LT"/>
                    </w:rPr>
                  </w:pPr>
                </w:p>
                <w:bookmarkEnd w:id="0" w:displacedByCustomXml="next"/>
              </w:sdtContent>
            </w:sdt>
          </w:sdtContent>
        </w:sdt>
        <w:sdt>
          <w:sdtPr>
            <w:alias w:val="signatura"/>
            <w:tag w:val="part_b4b2864c41524f57a22eb115f42d5251"/>
            <w:id w:val="-1326114545"/>
            <w:lock w:val="sdtLocked"/>
          </w:sdtPr>
          <w:sdtEndPr/>
          <w:sdtContent>
            <w:p w14:paraId="6CE2E0BC" w14:textId="77777777" w:rsidR="0093108A" w:rsidRDefault="0038476C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6CE2E0BD" w14:textId="77777777" w:rsidR="0093108A" w:rsidRDefault="009310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CE2E0BE" w14:textId="77777777" w:rsidR="0093108A" w:rsidRDefault="009310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CE2E0BF" w14:textId="77777777" w:rsidR="0093108A" w:rsidRDefault="0093108A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6CE2E0C0" w14:textId="77777777" w:rsidR="0093108A" w:rsidRDefault="0038476C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Finansų ministras</w:t>
              </w:r>
              <w:r>
                <w:rPr>
                  <w:lang w:eastAsia="lt-LT"/>
                </w:rPr>
                <w:tab/>
                <w:t xml:space="preserve">Rimantas </w:t>
              </w:r>
              <w:proofErr w:type="spellStart"/>
              <w:r>
                <w:rPr>
                  <w:lang w:eastAsia="lt-LT"/>
                </w:rPr>
                <w:t>Šadžius</w:t>
              </w:r>
              <w:proofErr w:type="spellEnd"/>
            </w:p>
            <w:p w14:paraId="6CE2E0C1" w14:textId="77777777" w:rsidR="0093108A" w:rsidRDefault="0038476C">
              <w:pPr>
                <w:tabs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sectPr w:rsidR="00931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E0C6" w14:textId="77777777" w:rsidR="0093108A" w:rsidRDefault="0038476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CE2E0C7" w14:textId="77777777" w:rsidR="0093108A" w:rsidRDefault="0038476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, EUAlbertina"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C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D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F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6CE2E0C5" w14:textId="77777777" w:rsidR="0093108A" w:rsidRDefault="0038476C">
      <w:pPr>
        <w:rPr>
          <w:lang w:eastAsia="lt-LT"/>
        </w:rPr>
      </w:pPr>
      <w:r>
        <w:rPr>
          <w:lang w:eastAsia="lt-LT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CE2E0C4" w14:textId="77777777" w:rsidR="0093108A" w:rsidRDefault="0038476C">
      <w:pPr>
        <w:rPr>
          <w:lang w:eastAsia="lt-LT"/>
        </w:rPr>
      </w:pPr>
      <w:r>
        <w:rPr>
          <w:lang w:eastAsia="lt-LT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8" w14:textId="77777777" w:rsidR="0093108A" w:rsidRDefault="0038476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CE2E0C9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A" w14:textId="77777777" w:rsidR="0093108A" w:rsidRDefault="0038476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CE2E0CB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E0CE" w14:textId="77777777" w:rsidR="0093108A" w:rsidRDefault="0093108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38476C"/>
    <w:rsid w:val="004C66E7"/>
    <w:rsid w:val="009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CE2E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47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, EUAlbertina"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75"/>
    <w:rsid w:val="009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6C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6C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Parts xmlns="http://lrs.lt/TAIS/DocParts">
  <Part Type="pagrindine" DocPartId="5d62bf603265481988424070bbff27d8" PartId="211145ecc24d44e7973b39847a3d343b">
    <Part Type="preambule" DocPartId="af8fc725c6ce4ebc82fd9b5c276b8060" PartId="74745e1bda1e432f871658b762524074"/>
    <Part Type="pastraipa" DocPartId="f0ab8549dbcf4dd5b27fed02965acce7" PartId="6b0732d9659f4e10adc2169bff5a2e53">
      <Part Type="citata" Nr="" Abbr="" Title="" Notes="" DocPartId="82882f52cfde4481936bb88371f5d38a" PartId="d77a6e52c9d448db91564c38c1538b36"/>
    </Part>
    <Part Type="signatura" DocPartId="72ebf8b1f5bb4d90b75ecf3bf31166da" PartId="b4b2864c41524f57a22eb115f42d5251"/>
  </Part>
</Parts>
</file>

<file path=customXml/itemProps1.xml><?xml version="1.0" encoding="utf-8"?>
<ds:datastoreItem xmlns:ds="http://schemas.openxmlformats.org/officeDocument/2006/customXml" ds:itemID="{E505AE26-C35E-4B90-9329-3D7173C891C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2014-06-16T11:54:00Z</dcterms:created>
  <dc:creator>lrvk</dc:creator>
  <lastModifiedBy>BODIN Aušra</lastModifiedBy>
  <lastPrinted>2014-06-11T07:44:00Z</lastPrinted>
  <dcterms:modified xsi:type="dcterms:W3CDTF">2014-06-16T13:57:00Z</dcterms:modified>
  <revision>3</revision>
</coreProperties>
</file>