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AFA" w:rsidRPr="00C24AFA" w:rsidRDefault="00C24AFA" w:rsidP="00C24AFA">
      <w:pPr>
        <w:suppressAutoHyphens/>
        <w:spacing w:after="120" w:line="360" w:lineRule="auto"/>
        <w:ind w:firstLine="567"/>
        <w:jc w:val="center"/>
        <w:rPr>
          <w:rFonts w:ascii="Times New Roman" w:eastAsia="Times New Roman" w:hAnsi="Times New Roman" w:cs="Times New Roman"/>
          <w:b/>
          <w:sz w:val="24"/>
          <w:szCs w:val="24"/>
          <w:lang w:val="lt-LT" w:eastAsia="ar-SA"/>
        </w:rPr>
      </w:pPr>
      <w:r w:rsidRPr="00C24AFA">
        <w:rPr>
          <w:rFonts w:ascii="Times New Roman" w:eastAsia="Times New Roman" w:hAnsi="Times New Roman" w:cs="Times New Roman"/>
          <w:b/>
          <w:sz w:val="24"/>
          <w:szCs w:val="24"/>
          <w:u w:val="single"/>
          <w:lang w:val="lt-LT" w:eastAsia="ar-SA"/>
        </w:rPr>
        <w:t>KVAPŲ SKLAIDOS MODELIAVIMAS</w:t>
      </w:r>
    </w:p>
    <w:p w:rsidR="00C24AFA" w:rsidRPr="00C24AFA" w:rsidRDefault="00C24AFA" w:rsidP="00C24AFA">
      <w:pPr>
        <w:suppressAutoHyphens/>
        <w:spacing w:after="120" w:line="360" w:lineRule="auto"/>
        <w:ind w:firstLine="567"/>
        <w:jc w:val="center"/>
        <w:rPr>
          <w:rFonts w:ascii="Times New Roman" w:eastAsia="Times New Roman" w:hAnsi="Times New Roman" w:cs="Times New Roman"/>
          <w:b/>
          <w:sz w:val="24"/>
          <w:szCs w:val="24"/>
          <w:lang w:val="lt-LT" w:eastAsia="ar-SA"/>
        </w:rPr>
      </w:pPr>
      <w:r w:rsidRPr="00C24AFA">
        <w:rPr>
          <w:rFonts w:ascii="Times New Roman" w:eastAsia="Times New Roman" w:hAnsi="Times New Roman" w:cs="Times New Roman"/>
          <w:b/>
          <w:sz w:val="24"/>
          <w:szCs w:val="24"/>
          <w:lang w:val="lt-LT" w:eastAsia="ar-SA"/>
        </w:rPr>
        <w:t>Didžiausios skleidžiamo kvapo koncentracijos neįvertinus foninio užterštumo</w:t>
      </w:r>
    </w:p>
    <w:p w:rsidR="00C24AFA" w:rsidRPr="00C24AFA" w:rsidRDefault="00C24AFA" w:rsidP="00C24AFA">
      <w:pPr>
        <w:tabs>
          <w:tab w:val="num" w:pos="0"/>
        </w:tabs>
        <w:suppressAutoHyphens/>
        <w:spacing w:after="0" w:line="360" w:lineRule="auto"/>
        <w:ind w:right="97" w:firstLine="360"/>
        <w:jc w:val="both"/>
        <w:rPr>
          <w:rFonts w:ascii="Times New Roman" w:eastAsia="Times New Roman" w:hAnsi="Times New Roman" w:cs="Times New Roman"/>
          <w:sz w:val="24"/>
          <w:szCs w:val="24"/>
          <w:lang w:val="lt-LT"/>
        </w:rPr>
      </w:pPr>
      <w:r w:rsidRPr="00C24AFA">
        <w:rPr>
          <w:rFonts w:ascii="Times New Roman" w:eastAsia="Times New Roman" w:hAnsi="Times New Roman" w:cs="Times New Roman"/>
          <w:sz w:val="24"/>
          <w:szCs w:val="24"/>
          <w:lang w:val="lt-LT" w:eastAsia="ar-SA"/>
        </w:rPr>
        <w:t>Vykdomos veiklos į aplinkos orą išmetamas teršalas turintis kvapą yra amoniakas. Jo koncentracijos buvo perskaičiuotos į europinius kvapo vienetus. Pagal kvapų valdymo metodines rekomendacijas v</w:t>
      </w:r>
      <w:r w:rsidRPr="00C24AFA">
        <w:rPr>
          <w:rFonts w:ascii="Times New Roman" w:eastAsia="Times New Roman" w:hAnsi="Times New Roman" w:cs="Times New Roman"/>
          <w:sz w:val="24"/>
          <w:szCs w:val="24"/>
          <w:lang w:val="lt-LT"/>
        </w:rPr>
        <w:t>ienas iš dažniausiai pasitaikančių ir nemalonų kvapą sukeliančių vertintinų aplinkos oro teršalų yra amoniakas. Išanalizavus literatūros šaltinius, manytina, kad vienas iš naujausių mokslinių tyrimų nustatant amoniako kvapo slenksčio vertę yra paskelbtas Jungtinės Karalystės moksliniame žurnale „</w:t>
      </w:r>
      <w:proofErr w:type="spellStart"/>
      <w:r w:rsidRPr="00C24AFA">
        <w:rPr>
          <w:rFonts w:ascii="Times New Roman" w:eastAsia="Times New Roman" w:hAnsi="Times New Roman" w:cs="Times New Roman"/>
          <w:sz w:val="24"/>
          <w:szCs w:val="24"/>
          <w:lang w:val="lt-LT"/>
        </w:rPr>
        <w:t>Toxicological</w:t>
      </w:r>
      <w:proofErr w:type="spellEnd"/>
      <w:r w:rsidRPr="00C24AFA">
        <w:rPr>
          <w:rFonts w:ascii="Times New Roman" w:eastAsia="Times New Roman" w:hAnsi="Times New Roman" w:cs="Times New Roman"/>
          <w:sz w:val="24"/>
          <w:szCs w:val="24"/>
          <w:lang w:val="lt-LT"/>
        </w:rPr>
        <w:t xml:space="preserve"> </w:t>
      </w:r>
      <w:proofErr w:type="spellStart"/>
      <w:r w:rsidRPr="00C24AFA">
        <w:rPr>
          <w:rFonts w:ascii="Times New Roman" w:eastAsia="Times New Roman" w:hAnsi="Times New Roman" w:cs="Times New Roman"/>
          <w:sz w:val="24"/>
          <w:szCs w:val="24"/>
          <w:lang w:val="lt-LT"/>
        </w:rPr>
        <w:t>and</w:t>
      </w:r>
      <w:proofErr w:type="spellEnd"/>
      <w:r w:rsidRPr="00C24AFA">
        <w:rPr>
          <w:rFonts w:ascii="Times New Roman" w:eastAsia="Times New Roman" w:hAnsi="Times New Roman" w:cs="Times New Roman"/>
          <w:sz w:val="24"/>
          <w:szCs w:val="24"/>
          <w:lang w:val="lt-LT"/>
        </w:rPr>
        <w:t xml:space="preserve"> </w:t>
      </w:r>
      <w:proofErr w:type="spellStart"/>
      <w:r w:rsidRPr="00C24AFA">
        <w:rPr>
          <w:rFonts w:ascii="Times New Roman" w:eastAsia="Times New Roman" w:hAnsi="Times New Roman" w:cs="Times New Roman"/>
          <w:sz w:val="24"/>
          <w:szCs w:val="24"/>
          <w:lang w:val="lt-LT"/>
        </w:rPr>
        <w:t>Environmental</w:t>
      </w:r>
      <w:proofErr w:type="spellEnd"/>
      <w:r w:rsidRPr="00C24AFA">
        <w:rPr>
          <w:rFonts w:ascii="Times New Roman" w:eastAsia="Times New Roman" w:hAnsi="Times New Roman" w:cs="Times New Roman"/>
          <w:sz w:val="24"/>
          <w:szCs w:val="24"/>
          <w:lang w:val="lt-LT"/>
        </w:rPr>
        <w:t xml:space="preserve"> </w:t>
      </w:r>
      <w:proofErr w:type="spellStart"/>
      <w:r w:rsidRPr="00C24AFA">
        <w:rPr>
          <w:rFonts w:ascii="Times New Roman" w:eastAsia="Times New Roman" w:hAnsi="Times New Roman" w:cs="Times New Roman"/>
          <w:sz w:val="24"/>
          <w:szCs w:val="24"/>
          <w:lang w:val="lt-LT"/>
        </w:rPr>
        <w:t>Chemistry</w:t>
      </w:r>
      <w:proofErr w:type="spellEnd"/>
      <w:r w:rsidRPr="00C24AFA">
        <w:rPr>
          <w:rFonts w:ascii="Times New Roman" w:eastAsia="Times New Roman" w:hAnsi="Times New Roman" w:cs="Times New Roman"/>
          <w:sz w:val="24"/>
          <w:szCs w:val="24"/>
          <w:lang w:val="lt-LT"/>
        </w:rPr>
        <w:t>“ (</w:t>
      </w:r>
      <w:proofErr w:type="spellStart"/>
      <w:r w:rsidRPr="00C24AFA">
        <w:rPr>
          <w:rFonts w:ascii="Times New Roman" w:eastAsia="Times New Roman" w:hAnsi="Times New Roman" w:cs="Times New Roman"/>
          <w:sz w:val="24"/>
          <w:szCs w:val="24"/>
          <w:lang w:val="lt-LT"/>
        </w:rPr>
        <w:t>Cawthon</w:t>
      </w:r>
      <w:proofErr w:type="spellEnd"/>
      <w:r w:rsidRPr="00C24AFA">
        <w:rPr>
          <w:rFonts w:ascii="Times New Roman" w:eastAsia="Times New Roman" w:hAnsi="Times New Roman" w:cs="Times New Roman"/>
          <w:sz w:val="24"/>
          <w:szCs w:val="24"/>
          <w:lang w:val="lt-LT"/>
        </w:rPr>
        <w:t xml:space="preserve"> et </w:t>
      </w:r>
      <w:proofErr w:type="spellStart"/>
      <w:r w:rsidRPr="00C24AFA">
        <w:rPr>
          <w:rFonts w:ascii="Times New Roman" w:eastAsia="Times New Roman" w:hAnsi="Times New Roman" w:cs="Times New Roman"/>
          <w:sz w:val="24"/>
          <w:szCs w:val="24"/>
          <w:lang w:val="lt-LT"/>
        </w:rPr>
        <w:t>al</w:t>
      </w:r>
      <w:proofErr w:type="spellEnd"/>
      <w:r w:rsidRPr="00C24AFA">
        <w:rPr>
          <w:rFonts w:ascii="Times New Roman" w:eastAsia="Times New Roman" w:hAnsi="Times New Roman" w:cs="Times New Roman"/>
          <w:sz w:val="24"/>
          <w:szCs w:val="24"/>
          <w:lang w:val="lt-LT"/>
        </w:rPr>
        <w:t xml:space="preserve">. 2009). Šiame straipsnyje (šaltinyje) nurodoma, kad amoniako kvapo slenksčio vertė yra 1,1 </w:t>
      </w:r>
      <w:proofErr w:type="spellStart"/>
      <w:r w:rsidRPr="00C24AFA">
        <w:rPr>
          <w:rFonts w:ascii="Times New Roman" w:eastAsia="Times New Roman" w:hAnsi="Times New Roman" w:cs="Times New Roman"/>
          <w:sz w:val="24"/>
          <w:szCs w:val="24"/>
          <w:lang w:val="lt-LT"/>
        </w:rPr>
        <w:t>ppm</w:t>
      </w:r>
      <w:proofErr w:type="spellEnd"/>
      <w:r w:rsidRPr="00C24AFA">
        <w:rPr>
          <w:rFonts w:ascii="Times New Roman" w:eastAsia="Times New Roman" w:hAnsi="Times New Roman" w:cs="Times New Roman"/>
          <w:sz w:val="24"/>
          <w:szCs w:val="24"/>
          <w:lang w:val="lt-LT"/>
        </w:rPr>
        <w:t>, t. y. 0,76 mg/m</w:t>
      </w:r>
      <w:r w:rsidRPr="00C24AFA">
        <w:rPr>
          <w:rFonts w:ascii="Times New Roman" w:eastAsia="Times New Roman" w:hAnsi="Times New Roman" w:cs="Times New Roman"/>
          <w:sz w:val="24"/>
          <w:szCs w:val="24"/>
          <w:vertAlign w:val="superscript"/>
          <w:lang w:val="lt-LT"/>
        </w:rPr>
        <w:t>3</w:t>
      </w:r>
      <w:r w:rsidRPr="00C24AFA">
        <w:rPr>
          <w:rFonts w:ascii="Times New Roman" w:eastAsia="Times New Roman" w:hAnsi="Times New Roman" w:cs="Times New Roman"/>
          <w:sz w:val="24"/>
          <w:szCs w:val="24"/>
          <w:lang w:val="lt-LT"/>
        </w:rPr>
        <w:t>. Šią amoniako kvapo slenksčio vertę siūlytina taikyti vertinant amoniako skleidžiamą kvapą“.</w:t>
      </w:r>
    </w:p>
    <w:p w:rsidR="00C24AFA" w:rsidRPr="00C24AFA" w:rsidRDefault="00C24AFA" w:rsidP="00C24AFA">
      <w:pPr>
        <w:suppressAutoHyphens/>
        <w:spacing w:after="120" w:line="360" w:lineRule="auto"/>
        <w:ind w:firstLine="567"/>
        <w:jc w:val="both"/>
        <w:rPr>
          <w:rFonts w:ascii="Times New Roman" w:eastAsia="Times New Roman" w:hAnsi="Times New Roman" w:cs="Times New Roman"/>
          <w:sz w:val="24"/>
          <w:szCs w:val="24"/>
          <w:lang w:val="lt-LT" w:eastAsia="ar-SA"/>
        </w:rPr>
      </w:pPr>
      <w:r w:rsidRPr="00C24AFA">
        <w:rPr>
          <w:rFonts w:ascii="Times New Roman" w:eastAsia="Times New Roman" w:hAnsi="Times New Roman" w:cs="Times New Roman"/>
          <w:sz w:val="24"/>
          <w:szCs w:val="24"/>
          <w:lang w:val="lt-LT" w:eastAsia="ar-SA"/>
        </w:rPr>
        <w:t>Kvapo koncentracijų apskaičiavimas:</w:t>
      </w:r>
    </w:p>
    <w:p w:rsidR="00C24AFA" w:rsidRPr="00C24AFA" w:rsidRDefault="00C24AFA" w:rsidP="00C24AFA">
      <w:pPr>
        <w:suppressAutoHyphens/>
        <w:spacing w:after="120" w:line="360" w:lineRule="auto"/>
        <w:ind w:firstLine="567"/>
        <w:jc w:val="both"/>
        <w:rPr>
          <w:rFonts w:ascii="Times New Roman" w:eastAsia="Times New Roman" w:hAnsi="Times New Roman" w:cs="Times New Roman"/>
          <w:sz w:val="24"/>
          <w:szCs w:val="24"/>
          <w:lang w:val="lt-LT"/>
        </w:rPr>
      </w:pPr>
      <w:r w:rsidRPr="00C24AFA">
        <w:rPr>
          <w:rFonts w:ascii="Times New Roman" w:eastAsia="Times New Roman" w:hAnsi="Times New Roman" w:cs="Times New Roman"/>
          <w:sz w:val="24"/>
          <w:szCs w:val="24"/>
          <w:lang w:val="lt-LT" w:eastAsia="ar-SA"/>
        </w:rPr>
        <w:t>M = g/s × 1000 × 0,76 =</w:t>
      </w:r>
      <w:r w:rsidRPr="00C24AFA">
        <w:rPr>
          <w:rFonts w:ascii="Times New Roman" w:eastAsia="Times New Roman" w:hAnsi="Times New Roman" w:cs="Times New Roman"/>
          <w:sz w:val="24"/>
          <w:szCs w:val="24"/>
          <w:lang w:val="lt-LT"/>
        </w:rPr>
        <w:t xml:space="preserve"> EOU/s, čia</w:t>
      </w:r>
    </w:p>
    <w:p w:rsidR="00C24AFA" w:rsidRPr="00C24AFA" w:rsidRDefault="00C24AFA" w:rsidP="00C24AFA">
      <w:pPr>
        <w:suppressAutoHyphens/>
        <w:spacing w:after="120" w:line="360" w:lineRule="auto"/>
        <w:ind w:firstLine="567"/>
        <w:jc w:val="both"/>
        <w:rPr>
          <w:rFonts w:ascii="Times New Roman" w:eastAsia="Times New Roman" w:hAnsi="Times New Roman" w:cs="Times New Roman"/>
          <w:sz w:val="24"/>
          <w:szCs w:val="24"/>
          <w:lang w:val="lt-LT"/>
        </w:rPr>
      </w:pPr>
      <w:r w:rsidRPr="00C24AFA">
        <w:rPr>
          <w:rFonts w:ascii="Times New Roman" w:eastAsia="Times New Roman" w:hAnsi="Times New Roman" w:cs="Times New Roman"/>
          <w:sz w:val="24"/>
          <w:szCs w:val="24"/>
          <w:lang w:val="lt-LT"/>
        </w:rPr>
        <w:t>g/s – iš taršos šaltinio išmetamas amoniako kiekis, g/s</w:t>
      </w:r>
    </w:p>
    <w:p w:rsidR="00C24AFA" w:rsidRPr="00C24AFA" w:rsidRDefault="00C24AFA" w:rsidP="00C24AFA">
      <w:pPr>
        <w:suppressAutoHyphens/>
        <w:spacing w:after="120" w:line="360" w:lineRule="auto"/>
        <w:ind w:firstLine="567"/>
        <w:jc w:val="both"/>
        <w:rPr>
          <w:rFonts w:ascii="Times New Roman" w:eastAsia="Times New Roman" w:hAnsi="Times New Roman" w:cs="Times New Roman"/>
          <w:sz w:val="24"/>
          <w:szCs w:val="24"/>
          <w:lang w:val="lt-LT" w:eastAsia="ar-SA"/>
        </w:rPr>
      </w:pPr>
      <w:r w:rsidRPr="00C24AFA">
        <w:rPr>
          <w:rFonts w:ascii="Times New Roman" w:eastAsia="Times New Roman" w:hAnsi="Times New Roman" w:cs="Times New Roman"/>
          <w:sz w:val="24"/>
          <w:szCs w:val="24"/>
          <w:lang w:val="lt-LT" w:eastAsia="ar-SA"/>
        </w:rPr>
        <w:t xml:space="preserve">Maksimali 1 valandos kvapo koncentracija taikant 98,08 </w:t>
      </w:r>
      <w:proofErr w:type="spellStart"/>
      <w:r w:rsidRPr="00C24AFA">
        <w:rPr>
          <w:rFonts w:ascii="Times New Roman" w:eastAsia="Times New Roman" w:hAnsi="Times New Roman" w:cs="Times New Roman"/>
          <w:sz w:val="24"/>
          <w:szCs w:val="24"/>
          <w:lang w:val="lt-LT" w:eastAsia="ar-SA"/>
        </w:rPr>
        <w:t>procentilį</w:t>
      </w:r>
      <w:proofErr w:type="spellEnd"/>
      <w:r w:rsidRPr="00C24AFA">
        <w:rPr>
          <w:rFonts w:ascii="Times New Roman" w:eastAsia="Times New Roman" w:hAnsi="Times New Roman" w:cs="Times New Roman"/>
          <w:sz w:val="24"/>
          <w:szCs w:val="24"/>
          <w:lang w:val="lt-LT" w:eastAsia="ar-SA"/>
        </w:rPr>
        <w:t xml:space="preserve"> aplinkinėse teritorijose, sudaro be fono: 0,01801 OUE/m</w:t>
      </w:r>
      <w:r w:rsidRPr="00C24AFA">
        <w:rPr>
          <w:rFonts w:ascii="Times New Roman" w:eastAsia="Times New Roman" w:hAnsi="Times New Roman" w:cs="Times New Roman"/>
          <w:sz w:val="24"/>
          <w:szCs w:val="24"/>
          <w:vertAlign w:val="superscript"/>
          <w:lang w:val="lt-LT" w:eastAsia="ar-SA"/>
        </w:rPr>
        <w:t>3</w:t>
      </w:r>
      <w:r w:rsidRPr="00C24AFA">
        <w:rPr>
          <w:rFonts w:ascii="Times New Roman" w:eastAsia="Times New Roman" w:hAnsi="Times New Roman" w:cs="Times New Roman"/>
          <w:sz w:val="24"/>
          <w:szCs w:val="24"/>
          <w:lang w:val="lt-LT" w:eastAsia="ar-SA"/>
        </w:rPr>
        <w:t xml:space="preserve"> (0,002 RV, kai RV = 8 OUE/m</w:t>
      </w:r>
      <w:r w:rsidRPr="00C24AFA">
        <w:rPr>
          <w:rFonts w:ascii="Times New Roman" w:eastAsia="Times New Roman" w:hAnsi="Times New Roman" w:cs="Times New Roman"/>
          <w:sz w:val="24"/>
          <w:szCs w:val="24"/>
          <w:vertAlign w:val="superscript"/>
          <w:lang w:val="lt-LT" w:eastAsia="ar-SA"/>
        </w:rPr>
        <w:t>3</w:t>
      </w:r>
      <w:r w:rsidRPr="00C24AFA">
        <w:rPr>
          <w:rFonts w:ascii="Times New Roman" w:eastAsia="Times New Roman" w:hAnsi="Times New Roman" w:cs="Times New Roman"/>
          <w:sz w:val="24"/>
          <w:szCs w:val="24"/>
          <w:lang w:val="lt-LT" w:eastAsia="ar-SA"/>
        </w:rPr>
        <w:t>). Ji pasiekiama 3-20 m atstumu visomis kryptimis nuo taršos šaltinių (tarp planuojamų statyti paukštidžių). Tai yra didžiausia koncentracija, kuri susidaro eksploatuojant įrenginius, esant nepalankioms meteorologinėms sąlygoms.</w:t>
      </w:r>
    </w:p>
    <w:p w:rsidR="00C24AFA" w:rsidRPr="00C24AFA" w:rsidRDefault="00C24AFA" w:rsidP="00C24AFA">
      <w:pPr>
        <w:suppressAutoHyphens/>
        <w:spacing w:after="120" w:line="360" w:lineRule="auto"/>
        <w:ind w:firstLine="567"/>
        <w:jc w:val="both"/>
        <w:rPr>
          <w:rFonts w:ascii="Times New Roman" w:eastAsia="Times New Roman" w:hAnsi="Times New Roman" w:cs="Times New Roman"/>
          <w:sz w:val="24"/>
          <w:szCs w:val="24"/>
          <w:lang w:val="lt-LT" w:eastAsia="ar-SA"/>
        </w:rPr>
      </w:pPr>
      <w:r w:rsidRPr="00C24AFA">
        <w:rPr>
          <w:rFonts w:ascii="Times New Roman" w:eastAsia="Times New Roman" w:hAnsi="Times New Roman" w:cs="Times New Roman"/>
          <w:sz w:val="24"/>
          <w:szCs w:val="24"/>
          <w:lang w:val="lt-LT" w:eastAsia="ar-SA"/>
        </w:rPr>
        <w:t>Gautos skleidžiamo kvapo koncentracijos lygintos su ribinėmis vertėmis, patvirtintomis Lietuvos higienos normoje HN 121:2010 „Kvapo koncentracijos ribinė vertė gyvenamosios aplinkos ore“. Didžiausios leidžiamos kvapo koncentracijos ribinės vertės yra 8 europiniai kvapo vienetai (OUE/m</w:t>
      </w:r>
      <w:r w:rsidRPr="00C24AFA">
        <w:rPr>
          <w:rFonts w:ascii="Times New Roman" w:eastAsia="Times New Roman" w:hAnsi="Times New Roman" w:cs="Times New Roman"/>
          <w:sz w:val="24"/>
          <w:szCs w:val="24"/>
          <w:vertAlign w:val="superscript"/>
          <w:lang w:val="lt-LT" w:eastAsia="ar-SA"/>
        </w:rPr>
        <w:t>3</w:t>
      </w:r>
      <w:r w:rsidRPr="00C24AFA">
        <w:rPr>
          <w:rFonts w:ascii="Times New Roman" w:eastAsia="Times New Roman" w:hAnsi="Times New Roman" w:cs="Times New Roman"/>
          <w:sz w:val="24"/>
          <w:szCs w:val="24"/>
          <w:lang w:val="lt-LT" w:eastAsia="ar-SA"/>
        </w:rPr>
        <w:t>).</w:t>
      </w:r>
    </w:p>
    <w:p w:rsidR="00C24AFA" w:rsidRPr="00C24AFA" w:rsidRDefault="00C24AFA" w:rsidP="00C24AFA">
      <w:pPr>
        <w:keepNext/>
        <w:numPr>
          <w:ilvl w:val="2"/>
          <w:numId w:val="0"/>
        </w:numPr>
        <w:tabs>
          <w:tab w:val="num" w:pos="720"/>
        </w:tabs>
        <w:suppressAutoHyphens/>
        <w:spacing w:before="240" w:after="240" w:line="240" w:lineRule="auto"/>
        <w:ind w:left="720" w:hanging="720"/>
        <w:outlineLvl w:val="2"/>
        <w:rPr>
          <w:rFonts w:ascii="Times New Roman" w:eastAsia="Times New Roman" w:hAnsi="Times New Roman" w:cs="Times New Roman"/>
          <w:bCs/>
          <w:sz w:val="24"/>
          <w:szCs w:val="24"/>
          <w:u w:val="single"/>
          <w:lang w:val="lt-LT" w:eastAsia="ar-SA"/>
        </w:rPr>
      </w:pPr>
      <w:r w:rsidRPr="00C24AFA">
        <w:rPr>
          <w:rFonts w:ascii="Times New Roman" w:eastAsia="Times New Roman" w:hAnsi="Times New Roman" w:cs="Times New Roman"/>
          <w:bCs/>
          <w:sz w:val="24"/>
          <w:szCs w:val="24"/>
          <w:u w:val="single"/>
          <w:lang w:val="lt-LT" w:eastAsia="ar-SA"/>
        </w:rPr>
        <w:t xml:space="preserve">Skleidžiamo kvapo koncentracijų skaičiavimo rezultatų analizė. </w:t>
      </w:r>
    </w:p>
    <w:p w:rsidR="00C24AFA" w:rsidRPr="00C24AFA" w:rsidRDefault="00C24AFA" w:rsidP="00C24AFA">
      <w:pPr>
        <w:suppressAutoHyphens/>
        <w:spacing w:after="120" w:line="360" w:lineRule="auto"/>
        <w:ind w:firstLine="567"/>
        <w:jc w:val="both"/>
        <w:rPr>
          <w:rFonts w:ascii="Times New Roman" w:eastAsia="Times New Roman" w:hAnsi="Times New Roman" w:cs="Times New Roman"/>
          <w:sz w:val="24"/>
          <w:szCs w:val="24"/>
          <w:lang w:val="lt-LT" w:eastAsia="ar-SA"/>
        </w:rPr>
      </w:pPr>
      <w:r w:rsidRPr="00C24AFA">
        <w:rPr>
          <w:rFonts w:ascii="Times New Roman" w:eastAsia="Times New Roman" w:hAnsi="Times New Roman" w:cs="Times New Roman"/>
          <w:sz w:val="24"/>
          <w:szCs w:val="24"/>
          <w:lang w:val="lt-LT" w:eastAsia="ar-SA"/>
        </w:rPr>
        <w:t>Esant planuojamoms išmetimų vertėms, skleidžiamo kvapo pažemio koncentracijos už UAB „</w:t>
      </w:r>
      <w:proofErr w:type="spellStart"/>
      <w:r w:rsidRPr="00C24AFA">
        <w:rPr>
          <w:rFonts w:ascii="Times New Roman" w:eastAsia="Times New Roman" w:hAnsi="Times New Roman" w:cs="Times New Roman"/>
          <w:sz w:val="24"/>
          <w:szCs w:val="24"/>
          <w:lang w:val="lt-LT" w:eastAsia="ar-SA"/>
        </w:rPr>
        <w:t>Smokvila</w:t>
      </w:r>
      <w:proofErr w:type="spellEnd"/>
      <w:r w:rsidRPr="00C24AFA">
        <w:rPr>
          <w:rFonts w:ascii="Times New Roman" w:eastAsia="Times New Roman" w:hAnsi="Times New Roman" w:cs="Times New Roman"/>
          <w:sz w:val="24"/>
          <w:szCs w:val="24"/>
          <w:lang w:val="lt-LT" w:eastAsia="ar-SA"/>
        </w:rPr>
        <w:t xml:space="preserve">“ </w:t>
      </w:r>
      <w:proofErr w:type="spellStart"/>
      <w:r w:rsidRPr="00C24AFA">
        <w:rPr>
          <w:rFonts w:ascii="Times New Roman" w:eastAsia="Times New Roman" w:hAnsi="Times New Roman" w:cs="Times New Roman"/>
          <w:sz w:val="24"/>
          <w:szCs w:val="24"/>
          <w:lang w:val="lt-LT" w:eastAsia="ar-SA"/>
        </w:rPr>
        <w:t>Gaukštonių</w:t>
      </w:r>
      <w:proofErr w:type="spellEnd"/>
      <w:r w:rsidRPr="00C24AFA">
        <w:rPr>
          <w:rFonts w:ascii="Times New Roman" w:eastAsia="Times New Roman" w:hAnsi="Times New Roman" w:cs="Times New Roman"/>
          <w:sz w:val="24"/>
          <w:szCs w:val="24"/>
          <w:lang w:val="lt-LT" w:eastAsia="ar-SA"/>
        </w:rPr>
        <w:t xml:space="preserve"> </w:t>
      </w:r>
      <w:proofErr w:type="spellStart"/>
      <w:r w:rsidRPr="00C24AFA">
        <w:rPr>
          <w:rFonts w:ascii="Times New Roman" w:eastAsia="Times New Roman" w:hAnsi="Times New Roman" w:cs="Times New Roman"/>
          <w:sz w:val="24"/>
          <w:szCs w:val="24"/>
          <w:lang w:val="lt-LT" w:eastAsia="ar-SA"/>
        </w:rPr>
        <w:t>k</w:t>
      </w:r>
      <w:proofErr w:type="spellEnd"/>
      <w:r w:rsidRPr="00C24AFA">
        <w:rPr>
          <w:rFonts w:ascii="Times New Roman" w:eastAsia="Times New Roman" w:hAnsi="Times New Roman" w:cs="Times New Roman"/>
          <w:sz w:val="24"/>
          <w:szCs w:val="24"/>
          <w:lang w:val="lt-LT" w:eastAsia="ar-SA"/>
        </w:rPr>
        <w:t xml:space="preserve">., Nemenčinės </w:t>
      </w:r>
      <w:proofErr w:type="spellStart"/>
      <w:r w:rsidRPr="00C24AFA">
        <w:rPr>
          <w:rFonts w:ascii="Times New Roman" w:eastAsia="Times New Roman" w:hAnsi="Times New Roman" w:cs="Times New Roman"/>
          <w:sz w:val="24"/>
          <w:szCs w:val="24"/>
          <w:lang w:val="lt-LT" w:eastAsia="ar-SA"/>
        </w:rPr>
        <w:t>sen</w:t>
      </w:r>
      <w:proofErr w:type="spellEnd"/>
      <w:r w:rsidRPr="00C24AFA">
        <w:rPr>
          <w:rFonts w:ascii="Times New Roman" w:eastAsia="Times New Roman" w:hAnsi="Times New Roman" w:cs="Times New Roman"/>
          <w:sz w:val="24"/>
          <w:szCs w:val="24"/>
          <w:lang w:val="lt-LT" w:eastAsia="ar-SA"/>
        </w:rPr>
        <w:t xml:space="preserve">., Vilniaus r. teritorijos ribos nesiekia ribinių verčių, o projektiniai išmetimų šaltinių parametrai užtikrina pakankamą kvapų sklaidą apylinkėse. Vykdoma ūkinė veikla žymesnio poveikio visuomenės sveikatai neturės. </w:t>
      </w:r>
    </w:p>
    <w:p w:rsidR="00C24AFA" w:rsidRPr="00C24AFA" w:rsidRDefault="00C24AFA" w:rsidP="00C24AFA">
      <w:pPr>
        <w:suppressAutoHyphens/>
        <w:spacing w:after="0" w:line="360" w:lineRule="auto"/>
        <w:ind w:firstLine="851"/>
        <w:jc w:val="both"/>
        <w:rPr>
          <w:rFonts w:ascii="Times New Roman" w:eastAsia="Times New Roman" w:hAnsi="Times New Roman" w:cs="Times New Roman"/>
          <w:sz w:val="24"/>
          <w:szCs w:val="24"/>
          <w:lang w:val="en-GB" w:eastAsia="ar-SA"/>
        </w:rPr>
      </w:pPr>
    </w:p>
    <w:p w:rsidR="00C24AFA" w:rsidRPr="00C24AFA" w:rsidRDefault="00C24AFA" w:rsidP="00C24AFA">
      <w:pPr>
        <w:suppressAutoHyphens/>
        <w:spacing w:after="120" w:line="360" w:lineRule="auto"/>
        <w:ind w:firstLine="567"/>
        <w:jc w:val="center"/>
        <w:rPr>
          <w:rFonts w:ascii="Times New Roman" w:eastAsia="Times New Roman" w:hAnsi="Times New Roman" w:cs="Times New Roman"/>
          <w:b/>
          <w:sz w:val="24"/>
          <w:szCs w:val="24"/>
          <w:lang w:val="lt-LT" w:eastAsia="ar-SA"/>
        </w:rPr>
      </w:pPr>
    </w:p>
    <w:p w:rsidR="00C24AFA" w:rsidRPr="00C24AFA" w:rsidRDefault="00C24AFA" w:rsidP="00C24AFA">
      <w:pPr>
        <w:suppressAutoHyphens/>
        <w:spacing w:after="120" w:line="360" w:lineRule="auto"/>
        <w:jc w:val="center"/>
        <w:rPr>
          <w:rFonts w:ascii="Times New Roman" w:eastAsia="Times New Roman" w:hAnsi="Times New Roman" w:cs="Times New Roman"/>
          <w:sz w:val="24"/>
          <w:szCs w:val="24"/>
          <w:u w:val="single"/>
          <w:lang w:val="lt-LT" w:eastAsia="ar-SA"/>
        </w:rPr>
      </w:pPr>
      <w:r w:rsidRPr="00C24AFA">
        <w:rPr>
          <w:rFonts w:ascii="Times New Roman" w:eastAsia="Times New Roman" w:hAnsi="Times New Roman" w:cs="Times New Roman"/>
          <w:sz w:val="24"/>
          <w:szCs w:val="24"/>
          <w:u w:val="single"/>
          <w:lang w:val="lt-LT" w:eastAsia="ar-SA"/>
        </w:rPr>
        <w:t>Teršalų pažemio koncentracijų skaičiavimo rezultatų lentelė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2202"/>
        <w:gridCol w:w="1611"/>
        <w:gridCol w:w="1594"/>
        <w:gridCol w:w="3464"/>
      </w:tblGrid>
      <w:tr w:rsidR="00C24AFA" w:rsidRPr="00C24AFA" w:rsidTr="00EE471C">
        <w:trPr>
          <w:trHeight w:val="530"/>
        </w:trPr>
        <w:tc>
          <w:tcPr>
            <w:tcW w:w="714" w:type="dxa"/>
            <w:shd w:val="clear" w:color="auto" w:fill="auto"/>
            <w:vAlign w:val="center"/>
          </w:tcPr>
          <w:p w:rsidR="00C24AFA" w:rsidRPr="00C24AFA" w:rsidRDefault="00C24AFA" w:rsidP="00EE471C">
            <w:pPr>
              <w:spacing w:after="0" w:line="240" w:lineRule="auto"/>
              <w:jc w:val="center"/>
              <w:rPr>
                <w:rFonts w:ascii="Times New Roman" w:eastAsia="Times New Roman" w:hAnsi="Times New Roman" w:cs="Times New Roman"/>
                <w:snapToGrid w:val="0"/>
                <w:sz w:val="24"/>
                <w:szCs w:val="24"/>
                <w:lang w:val="lt-LT"/>
              </w:rPr>
            </w:pPr>
            <w:proofErr w:type="spellStart"/>
            <w:r w:rsidRPr="00C24AFA">
              <w:rPr>
                <w:rFonts w:ascii="Times New Roman" w:eastAsia="Times New Roman" w:hAnsi="Times New Roman" w:cs="Times New Roman"/>
                <w:snapToGrid w:val="0"/>
                <w:sz w:val="24"/>
                <w:szCs w:val="24"/>
                <w:lang w:val="lt-LT"/>
              </w:rPr>
              <w:t>Eil</w:t>
            </w:r>
            <w:proofErr w:type="spellEnd"/>
            <w:r w:rsidRPr="00C24AFA">
              <w:rPr>
                <w:rFonts w:ascii="Times New Roman" w:eastAsia="Times New Roman" w:hAnsi="Times New Roman" w:cs="Times New Roman"/>
                <w:snapToGrid w:val="0"/>
                <w:sz w:val="24"/>
                <w:szCs w:val="24"/>
                <w:lang w:val="lt-LT"/>
              </w:rPr>
              <w:t>.</w:t>
            </w:r>
          </w:p>
          <w:p w:rsidR="00C24AFA" w:rsidRPr="00C24AFA" w:rsidRDefault="00C24AFA" w:rsidP="00EE471C">
            <w:pPr>
              <w:spacing w:after="0" w:line="240" w:lineRule="auto"/>
              <w:jc w:val="center"/>
              <w:rPr>
                <w:rFonts w:ascii="Times New Roman" w:eastAsia="Times New Roman" w:hAnsi="Times New Roman" w:cs="Times New Roman"/>
                <w:snapToGrid w:val="0"/>
                <w:sz w:val="24"/>
                <w:szCs w:val="24"/>
                <w:lang w:val="lt-LT"/>
              </w:rPr>
            </w:pPr>
            <w:proofErr w:type="spellStart"/>
            <w:r w:rsidRPr="00C24AFA">
              <w:rPr>
                <w:rFonts w:ascii="Times New Roman" w:eastAsia="Times New Roman" w:hAnsi="Times New Roman" w:cs="Times New Roman"/>
                <w:snapToGrid w:val="0"/>
                <w:sz w:val="24"/>
                <w:szCs w:val="24"/>
                <w:lang w:val="lt-LT"/>
              </w:rPr>
              <w:t>Nr</w:t>
            </w:r>
            <w:proofErr w:type="spellEnd"/>
            <w:r w:rsidRPr="00C24AFA">
              <w:rPr>
                <w:rFonts w:ascii="Times New Roman" w:eastAsia="Times New Roman" w:hAnsi="Times New Roman" w:cs="Times New Roman"/>
                <w:snapToGrid w:val="0"/>
                <w:sz w:val="24"/>
                <w:szCs w:val="24"/>
                <w:lang w:val="lt-LT"/>
              </w:rPr>
              <w:t>.</w:t>
            </w:r>
          </w:p>
        </w:tc>
        <w:tc>
          <w:tcPr>
            <w:tcW w:w="2244" w:type="dxa"/>
            <w:shd w:val="clear" w:color="auto" w:fill="auto"/>
            <w:vAlign w:val="center"/>
          </w:tcPr>
          <w:p w:rsidR="00C24AFA" w:rsidRPr="00C24AFA" w:rsidRDefault="00C24AFA" w:rsidP="00EE471C">
            <w:pPr>
              <w:spacing w:after="0" w:line="240" w:lineRule="auto"/>
              <w:jc w:val="center"/>
              <w:rPr>
                <w:rFonts w:ascii="Times New Roman" w:eastAsia="Times New Roman" w:hAnsi="Times New Roman" w:cs="Times New Roman"/>
                <w:snapToGrid w:val="0"/>
                <w:sz w:val="24"/>
                <w:szCs w:val="24"/>
                <w:lang w:val="lt-LT"/>
              </w:rPr>
            </w:pPr>
            <w:r w:rsidRPr="00C24AFA">
              <w:rPr>
                <w:rFonts w:ascii="Times New Roman" w:eastAsia="Times New Roman" w:hAnsi="Times New Roman" w:cs="Times New Roman"/>
                <w:snapToGrid w:val="0"/>
                <w:sz w:val="24"/>
                <w:szCs w:val="24"/>
                <w:lang w:val="lt-LT"/>
              </w:rPr>
              <w:t>Teršalo pavadinimas</w:t>
            </w:r>
          </w:p>
        </w:tc>
        <w:tc>
          <w:tcPr>
            <w:tcW w:w="3314" w:type="dxa"/>
            <w:gridSpan w:val="2"/>
            <w:shd w:val="clear" w:color="auto" w:fill="auto"/>
            <w:vAlign w:val="center"/>
          </w:tcPr>
          <w:p w:rsidR="00C24AFA" w:rsidRPr="00C24AFA" w:rsidRDefault="00C24AFA" w:rsidP="00EE471C">
            <w:pPr>
              <w:spacing w:after="0" w:line="240" w:lineRule="auto"/>
              <w:jc w:val="center"/>
              <w:rPr>
                <w:rFonts w:ascii="Times New Roman" w:eastAsia="Times New Roman" w:hAnsi="Times New Roman" w:cs="Times New Roman"/>
                <w:snapToGrid w:val="0"/>
                <w:sz w:val="24"/>
                <w:szCs w:val="24"/>
                <w:vertAlign w:val="superscript"/>
                <w:lang w:val="lt-LT"/>
              </w:rPr>
            </w:pPr>
            <w:r w:rsidRPr="00C24AFA">
              <w:rPr>
                <w:rFonts w:ascii="Times New Roman" w:eastAsia="Times New Roman" w:hAnsi="Times New Roman" w:cs="Times New Roman"/>
                <w:snapToGrid w:val="0"/>
                <w:sz w:val="24"/>
                <w:szCs w:val="24"/>
                <w:lang w:val="lt-LT"/>
              </w:rPr>
              <w:t>Ribinė vertė OUE/m</w:t>
            </w:r>
            <w:r w:rsidRPr="00C24AFA">
              <w:rPr>
                <w:rFonts w:ascii="Times New Roman" w:eastAsia="Times New Roman" w:hAnsi="Times New Roman" w:cs="Times New Roman"/>
                <w:snapToGrid w:val="0"/>
                <w:sz w:val="24"/>
                <w:szCs w:val="24"/>
                <w:vertAlign w:val="superscript"/>
                <w:lang w:val="lt-LT"/>
              </w:rPr>
              <w:t>3</w:t>
            </w:r>
          </w:p>
        </w:tc>
        <w:tc>
          <w:tcPr>
            <w:tcW w:w="3581" w:type="dxa"/>
            <w:shd w:val="clear" w:color="auto" w:fill="auto"/>
            <w:vAlign w:val="center"/>
          </w:tcPr>
          <w:p w:rsidR="00C24AFA" w:rsidRPr="00C24AFA" w:rsidRDefault="00C24AFA" w:rsidP="00EE471C">
            <w:pPr>
              <w:spacing w:after="0" w:line="240" w:lineRule="auto"/>
              <w:jc w:val="center"/>
              <w:rPr>
                <w:rFonts w:ascii="Times New Roman" w:eastAsia="Times New Roman" w:hAnsi="Times New Roman" w:cs="Times New Roman"/>
                <w:snapToGrid w:val="0"/>
                <w:sz w:val="24"/>
                <w:szCs w:val="24"/>
                <w:lang w:val="lt-LT"/>
              </w:rPr>
            </w:pPr>
            <w:r w:rsidRPr="00C24AFA">
              <w:rPr>
                <w:rFonts w:ascii="Times New Roman" w:eastAsia="Times New Roman" w:hAnsi="Times New Roman" w:cs="Times New Roman"/>
                <w:snapToGrid w:val="0"/>
                <w:sz w:val="24"/>
                <w:szCs w:val="24"/>
                <w:lang w:val="lt-LT"/>
              </w:rPr>
              <w:t>Maksimali teršalų koncentracija skaičiavimo lauke, OUE/m</w:t>
            </w:r>
            <w:r w:rsidRPr="00C24AFA">
              <w:rPr>
                <w:rFonts w:ascii="Times New Roman" w:eastAsia="Times New Roman" w:hAnsi="Times New Roman" w:cs="Times New Roman"/>
                <w:snapToGrid w:val="0"/>
                <w:sz w:val="24"/>
                <w:szCs w:val="24"/>
                <w:vertAlign w:val="superscript"/>
                <w:lang w:val="lt-LT"/>
              </w:rPr>
              <w:t>3</w:t>
            </w:r>
          </w:p>
        </w:tc>
      </w:tr>
      <w:tr w:rsidR="00C24AFA" w:rsidRPr="00C24AFA" w:rsidTr="00EE471C">
        <w:tc>
          <w:tcPr>
            <w:tcW w:w="714" w:type="dxa"/>
            <w:vMerge w:val="restart"/>
            <w:shd w:val="clear" w:color="auto" w:fill="auto"/>
            <w:vAlign w:val="center"/>
          </w:tcPr>
          <w:p w:rsidR="00C24AFA" w:rsidRPr="00C24AFA" w:rsidRDefault="00C24AFA" w:rsidP="00EE471C">
            <w:pPr>
              <w:spacing w:after="0" w:line="240" w:lineRule="auto"/>
              <w:jc w:val="center"/>
              <w:rPr>
                <w:rFonts w:ascii="Times New Roman" w:eastAsia="Times New Roman" w:hAnsi="Times New Roman" w:cs="Times New Roman"/>
                <w:snapToGrid w:val="0"/>
                <w:sz w:val="24"/>
                <w:szCs w:val="24"/>
                <w:lang w:val="lt-LT"/>
              </w:rPr>
            </w:pPr>
            <w:r w:rsidRPr="00C24AFA">
              <w:rPr>
                <w:rFonts w:ascii="Times New Roman" w:eastAsia="Times New Roman" w:hAnsi="Times New Roman" w:cs="Times New Roman"/>
                <w:snapToGrid w:val="0"/>
                <w:sz w:val="24"/>
                <w:szCs w:val="24"/>
                <w:lang w:val="lt-LT"/>
              </w:rPr>
              <w:t>1.</w:t>
            </w:r>
          </w:p>
        </w:tc>
        <w:tc>
          <w:tcPr>
            <w:tcW w:w="2244" w:type="dxa"/>
            <w:vMerge w:val="restart"/>
            <w:shd w:val="clear" w:color="auto" w:fill="auto"/>
            <w:vAlign w:val="center"/>
          </w:tcPr>
          <w:p w:rsidR="00C24AFA" w:rsidRPr="00C24AFA" w:rsidRDefault="00C24AFA" w:rsidP="00EE471C">
            <w:pPr>
              <w:spacing w:after="0" w:line="240" w:lineRule="auto"/>
              <w:jc w:val="center"/>
              <w:rPr>
                <w:rFonts w:ascii="Times New Roman" w:eastAsia="Times New Roman" w:hAnsi="Times New Roman" w:cs="Times New Roman"/>
                <w:snapToGrid w:val="0"/>
                <w:sz w:val="24"/>
                <w:szCs w:val="24"/>
                <w:lang w:val="lt-LT"/>
              </w:rPr>
            </w:pPr>
            <w:r w:rsidRPr="00C24AFA">
              <w:rPr>
                <w:rFonts w:ascii="Times New Roman" w:eastAsia="Times New Roman" w:hAnsi="Times New Roman" w:cs="Times New Roman"/>
                <w:snapToGrid w:val="0"/>
                <w:sz w:val="24"/>
                <w:szCs w:val="24"/>
                <w:lang w:val="lt-LT"/>
              </w:rPr>
              <w:t>Skleidžiamas kvapas</w:t>
            </w:r>
          </w:p>
        </w:tc>
        <w:tc>
          <w:tcPr>
            <w:tcW w:w="1644" w:type="dxa"/>
            <w:vMerge w:val="restart"/>
            <w:shd w:val="clear" w:color="auto" w:fill="auto"/>
            <w:vAlign w:val="center"/>
          </w:tcPr>
          <w:p w:rsidR="00C24AFA" w:rsidRPr="00C24AFA" w:rsidRDefault="00C24AFA" w:rsidP="00EE471C">
            <w:pPr>
              <w:spacing w:after="0" w:line="240" w:lineRule="auto"/>
              <w:jc w:val="center"/>
              <w:rPr>
                <w:rFonts w:ascii="Times New Roman" w:eastAsia="Times New Roman" w:hAnsi="Times New Roman" w:cs="Times New Roman"/>
                <w:snapToGrid w:val="0"/>
                <w:sz w:val="24"/>
                <w:szCs w:val="24"/>
                <w:lang w:val="lt-LT"/>
              </w:rPr>
            </w:pPr>
            <w:r w:rsidRPr="00C24AFA">
              <w:rPr>
                <w:rFonts w:ascii="Times New Roman" w:eastAsia="Times New Roman" w:hAnsi="Times New Roman" w:cs="Times New Roman"/>
                <w:snapToGrid w:val="0"/>
                <w:sz w:val="24"/>
                <w:szCs w:val="24"/>
                <w:lang w:val="lt-LT"/>
              </w:rPr>
              <w:t>1 valandos</w:t>
            </w:r>
          </w:p>
        </w:tc>
        <w:tc>
          <w:tcPr>
            <w:tcW w:w="1670" w:type="dxa"/>
            <w:vMerge w:val="restart"/>
            <w:shd w:val="clear" w:color="auto" w:fill="auto"/>
            <w:vAlign w:val="center"/>
          </w:tcPr>
          <w:p w:rsidR="00C24AFA" w:rsidRPr="00C24AFA" w:rsidRDefault="00C24AFA" w:rsidP="00EE471C">
            <w:pPr>
              <w:spacing w:after="0" w:line="240" w:lineRule="auto"/>
              <w:jc w:val="center"/>
              <w:rPr>
                <w:rFonts w:ascii="Times New Roman" w:eastAsia="Times New Roman" w:hAnsi="Times New Roman" w:cs="Times New Roman"/>
                <w:snapToGrid w:val="0"/>
                <w:sz w:val="24"/>
                <w:szCs w:val="24"/>
                <w:lang w:val="lt-LT"/>
              </w:rPr>
            </w:pPr>
            <w:r w:rsidRPr="00C24AFA">
              <w:rPr>
                <w:rFonts w:ascii="Times New Roman" w:eastAsia="Times New Roman" w:hAnsi="Times New Roman" w:cs="Times New Roman"/>
                <w:snapToGrid w:val="0"/>
                <w:sz w:val="24"/>
                <w:szCs w:val="24"/>
                <w:lang w:val="lt-LT"/>
              </w:rPr>
              <w:t>8</w:t>
            </w:r>
          </w:p>
        </w:tc>
        <w:tc>
          <w:tcPr>
            <w:tcW w:w="3581" w:type="dxa"/>
            <w:shd w:val="clear" w:color="auto" w:fill="auto"/>
            <w:vAlign w:val="center"/>
          </w:tcPr>
          <w:p w:rsidR="00C24AFA" w:rsidRPr="00C24AFA" w:rsidRDefault="00C24AFA" w:rsidP="00EE471C">
            <w:pPr>
              <w:spacing w:after="0" w:line="240" w:lineRule="auto"/>
              <w:jc w:val="center"/>
              <w:rPr>
                <w:rFonts w:ascii="Times New Roman" w:eastAsia="Times New Roman" w:hAnsi="Times New Roman" w:cs="Times New Roman"/>
                <w:snapToGrid w:val="0"/>
                <w:sz w:val="24"/>
                <w:szCs w:val="24"/>
                <w:lang w:val="lt-LT"/>
              </w:rPr>
            </w:pPr>
            <w:r w:rsidRPr="00C24AFA">
              <w:rPr>
                <w:rFonts w:ascii="Times New Roman" w:eastAsia="Times New Roman" w:hAnsi="Times New Roman" w:cs="Times New Roman"/>
                <w:snapToGrid w:val="0"/>
                <w:sz w:val="24"/>
                <w:szCs w:val="24"/>
                <w:lang w:val="lt-LT"/>
              </w:rPr>
              <w:t>Be fono</w:t>
            </w:r>
          </w:p>
        </w:tc>
      </w:tr>
      <w:tr w:rsidR="00C24AFA" w:rsidRPr="00C24AFA" w:rsidTr="00EE471C">
        <w:trPr>
          <w:trHeight w:val="873"/>
        </w:trPr>
        <w:tc>
          <w:tcPr>
            <w:tcW w:w="714" w:type="dxa"/>
            <w:vMerge/>
            <w:shd w:val="clear" w:color="auto" w:fill="auto"/>
            <w:vAlign w:val="center"/>
          </w:tcPr>
          <w:p w:rsidR="00C24AFA" w:rsidRPr="00C24AFA" w:rsidRDefault="00C24AFA" w:rsidP="00EE471C">
            <w:pPr>
              <w:spacing w:after="0" w:line="240" w:lineRule="auto"/>
              <w:jc w:val="center"/>
              <w:rPr>
                <w:rFonts w:ascii="Times New Roman" w:eastAsia="Times New Roman" w:hAnsi="Times New Roman" w:cs="Times New Roman"/>
                <w:snapToGrid w:val="0"/>
                <w:sz w:val="24"/>
                <w:szCs w:val="24"/>
                <w:lang w:val="lt-LT"/>
              </w:rPr>
            </w:pPr>
          </w:p>
        </w:tc>
        <w:tc>
          <w:tcPr>
            <w:tcW w:w="2244" w:type="dxa"/>
            <w:vMerge/>
            <w:shd w:val="clear" w:color="auto" w:fill="auto"/>
            <w:vAlign w:val="center"/>
          </w:tcPr>
          <w:p w:rsidR="00C24AFA" w:rsidRPr="00C24AFA" w:rsidRDefault="00C24AFA" w:rsidP="00EE471C">
            <w:pPr>
              <w:spacing w:after="0" w:line="240" w:lineRule="auto"/>
              <w:jc w:val="center"/>
              <w:rPr>
                <w:rFonts w:ascii="Times New Roman" w:eastAsia="Times New Roman" w:hAnsi="Times New Roman" w:cs="Times New Roman"/>
                <w:snapToGrid w:val="0"/>
                <w:sz w:val="24"/>
                <w:szCs w:val="24"/>
                <w:lang w:val="lt-LT"/>
              </w:rPr>
            </w:pPr>
          </w:p>
        </w:tc>
        <w:tc>
          <w:tcPr>
            <w:tcW w:w="1644" w:type="dxa"/>
            <w:vMerge/>
            <w:shd w:val="clear" w:color="auto" w:fill="auto"/>
            <w:vAlign w:val="center"/>
          </w:tcPr>
          <w:p w:rsidR="00C24AFA" w:rsidRPr="00C24AFA" w:rsidRDefault="00C24AFA" w:rsidP="00EE471C">
            <w:pPr>
              <w:spacing w:after="0" w:line="240" w:lineRule="auto"/>
              <w:jc w:val="center"/>
              <w:rPr>
                <w:rFonts w:ascii="Times New Roman" w:eastAsia="Times New Roman" w:hAnsi="Times New Roman" w:cs="Times New Roman"/>
                <w:snapToGrid w:val="0"/>
                <w:sz w:val="24"/>
                <w:szCs w:val="24"/>
                <w:lang w:val="lt-LT"/>
              </w:rPr>
            </w:pPr>
          </w:p>
        </w:tc>
        <w:tc>
          <w:tcPr>
            <w:tcW w:w="1670" w:type="dxa"/>
            <w:vMerge/>
            <w:shd w:val="clear" w:color="auto" w:fill="auto"/>
            <w:vAlign w:val="center"/>
          </w:tcPr>
          <w:p w:rsidR="00C24AFA" w:rsidRPr="00C24AFA" w:rsidRDefault="00C24AFA" w:rsidP="00EE471C">
            <w:pPr>
              <w:spacing w:after="0" w:line="240" w:lineRule="auto"/>
              <w:jc w:val="center"/>
              <w:rPr>
                <w:rFonts w:ascii="Times New Roman" w:eastAsia="Times New Roman" w:hAnsi="Times New Roman" w:cs="Times New Roman"/>
                <w:snapToGrid w:val="0"/>
                <w:sz w:val="24"/>
                <w:szCs w:val="24"/>
                <w:lang w:val="lt-LT"/>
              </w:rPr>
            </w:pPr>
          </w:p>
        </w:tc>
        <w:tc>
          <w:tcPr>
            <w:tcW w:w="3581" w:type="dxa"/>
            <w:shd w:val="clear" w:color="auto" w:fill="auto"/>
            <w:vAlign w:val="center"/>
          </w:tcPr>
          <w:p w:rsidR="00C24AFA" w:rsidRPr="00C24AFA" w:rsidRDefault="00C24AFA" w:rsidP="00EE471C">
            <w:pPr>
              <w:spacing w:after="0" w:line="240" w:lineRule="auto"/>
              <w:jc w:val="center"/>
              <w:rPr>
                <w:rFonts w:ascii="Times New Roman" w:eastAsia="Times New Roman" w:hAnsi="Times New Roman" w:cs="Times New Roman"/>
                <w:snapToGrid w:val="0"/>
                <w:sz w:val="24"/>
                <w:szCs w:val="24"/>
              </w:rPr>
            </w:pPr>
            <w:r w:rsidRPr="00C24AFA">
              <w:rPr>
                <w:rFonts w:ascii="Times New Roman" w:eastAsia="Times New Roman" w:hAnsi="Times New Roman" w:cs="Times New Roman"/>
                <w:snapToGrid w:val="0"/>
                <w:sz w:val="24"/>
                <w:szCs w:val="24"/>
                <w:lang w:val="lt-LT"/>
              </w:rPr>
              <w:t>0,01801</w:t>
            </w:r>
          </w:p>
        </w:tc>
      </w:tr>
    </w:tbl>
    <w:p w:rsidR="00C24AFA" w:rsidRDefault="00C24AFA" w:rsidP="00C24AFA">
      <w:pPr>
        <w:suppressAutoHyphens/>
        <w:spacing w:after="120" w:line="360" w:lineRule="auto"/>
        <w:rPr>
          <w:rFonts w:ascii="Times New Roman" w:eastAsia="Times New Roman" w:hAnsi="Times New Roman" w:cs="Times New Roman"/>
          <w:b/>
          <w:sz w:val="24"/>
          <w:szCs w:val="24"/>
          <w:lang w:val="lt-LT" w:eastAsia="ar-SA"/>
        </w:rPr>
      </w:pPr>
    </w:p>
    <w:p w:rsidR="00C24AFA" w:rsidRDefault="00C24AFA" w:rsidP="00C24AFA">
      <w:pPr>
        <w:suppressAutoHyphens/>
        <w:spacing w:after="120" w:line="360" w:lineRule="auto"/>
        <w:rPr>
          <w:rFonts w:ascii="Times New Roman" w:eastAsia="Times New Roman" w:hAnsi="Times New Roman" w:cs="Times New Roman"/>
          <w:b/>
          <w:sz w:val="24"/>
          <w:szCs w:val="24"/>
          <w:lang w:val="lt-LT" w:eastAsia="ar-SA"/>
        </w:rPr>
      </w:pPr>
    </w:p>
    <w:p w:rsidR="00C24AFA" w:rsidRPr="00C24AFA" w:rsidRDefault="00C24AFA" w:rsidP="00C24AFA">
      <w:pPr>
        <w:suppressAutoHyphens/>
        <w:spacing w:after="120" w:line="360" w:lineRule="auto"/>
        <w:rPr>
          <w:rFonts w:ascii="Times New Roman" w:eastAsia="Times New Roman" w:hAnsi="Times New Roman" w:cs="Times New Roman"/>
          <w:b/>
          <w:sz w:val="24"/>
          <w:szCs w:val="24"/>
          <w:lang w:val="lt-LT" w:eastAsia="ar-SA"/>
        </w:rPr>
      </w:pPr>
      <w:r w:rsidRPr="00C24AFA">
        <w:rPr>
          <w:rFonts w:ascii="Times New Roman" w:eastAsia="Times New Roman" w:hAnsi="Times New Roman" w:cs="Times New Roman"/>
          <w:b/>
          <w:sz w:val="24"/>
          <w:szCs w:val="24"/>
          <w:lang w:val="lt-LT" w:eastAsia="ar-SA"/>
        </w:rPr>
        <w:t xml:space="preserve"> </w:t>
      </w:r>
    </w:p>
    <w:p w:rsidR="00C24AFA" w:rsidRDefault="00C24AFA" w:rsidP="00C24AFA">
      <w:pPr>
        <w:suppressAutoHyphens/>
        <w:spacing w:after="0" w:line="360" w:lineRule="auto"/>
        <w:jc w:val="center"/>
        <w:rPr>
          <w:rFonts w:ascii="Times New Roman" w:eastAsia="Times New Roman" w:hAnsi="Times New Roman" w:cs="Times New Roman"/>
          <w:color w:val="000000"/>
          <w:sz w:val="24"/>
          <w:szCs w:val="24"/>
          <w:lang w:val="lt-LT" w:eastAsia="ar-SA"/>
        </w:rPr>
      </w:pPr>
    </w:p>
    <w:p w:rsidR="00C24AFA" w:rsidRDefault="00C24AFA" w:rsidP="00C24AFA">
      <w:pPr>
        <w:suppressAutoHyphens/>
        <w:spacing w:after="0" w:line="360" w:lineRule="auto"/>
        <w:jc w:val="center"/>
        <w:rPr>
          <w:rFonts w:ascii="Times New Roman" w:eastAsia="Times New Roman" w:hAnsi="Times New Roman" w:cs="Times New Roman"/>
          <w:color w:val="000000"/>
          <w:sz w:val="24"/>
          <w:szCs w:val="24"/>
          <w:lang w:val="lt-LT" w:eastAsia="ar-SA"/>
        </w:rPr>
      </w:pPr>
    </w:p>
    <w:p w:rsidR="00C24AFA" w:rsidRDefault="00C24AFA" w:rsidP="00C24AFA">
      <w:pPr>
        <w:suppressAutoHyphens/>
        <w:spacing w:after="0" w:line="360" w:lineRule="auto"/>
        <w:jc w:val="center"/>
        <w:rPr>
          <w:rFonts w:ascii="Times New Roman" w:eastAsia="Times New Roman" w:hAnsi="Times New Roman" w:cs="Times New Roman"/>
          <w:color w:val="000000"/>
          <w:sz w:val="24"/>
          <w:szCs w:val="24"/>
          <w:lang w:val="lt-LT" w:eastAsia="ar-SA"/>
        </w:rPr>
      </w:pPr>
    </w:p>
    <w:p w:rsidR="00C24AFA" w:rsidRDefault="00C24AFA" w:rsidP="00C24AFA">
      <w:pPr>
        <w:suppressAutoHyphens/>
        <w:spacing w:after="0" w:line="360" w:lineRule="auto"/>
        <w:jc w:val="center"/>
        <w:rPr>
          <w:rFonts w:ascii="Times New Roman" w:eastAsia="Times New Roman" w:hAnsi="Times New Roman" w:cs="Times New Roman"/>
          <w:color w:val="000000"/>
          <w:sz w:val="24"/>
          <w:szCs w:val="24"/>
          <w:lang w:val="lt-LT" w:eastAsia="ar-SA"/>
        </w:rPr>
      </w:pPr>
    </w:p>
    <w:p w:rsidR="00C24AFA" w:rsidRDefault="00C24AFA" w:rsidP="00C24AFA">
      <w:pPr>
        <w:suppressAutoHyphens/>
        <w:spacing w:after="0" w:line="360" w:lineRule="auto"/>
        <w:jc w:val="center"/>
        <w:rPr>
          <w:rFonts w:ascii="Times New Roman" w:eastAsia="Times New Roman" w:hAnsi="Times New Roman" w:cs="Times New Roman"/>
          <w:color w:val="000000"/>
          <w:sz w:val="24"/>
          <w:szCs w:val="24"/>
          <w:lang w:val="lt-LT" w:eastAsia="ar-SA"/>
        </w:rPr>
      </w:pPr>
    </w:p>
    <w:p w:rsidR="00C24AFA" w:rsidRDefault="00C24AFA" w:rsidP="00C24AFA">
      <w:pPr>
        <w:suppressAutoHyphens/>
        <w:spacing w:after="0" w:line="360" w:lineRule="auto"/>
        <w:jc w:val="center"/>
        <w:rPr>
          <w:rFonts w:ascii="Times New Roman" w:eastAsia="Times New Roman" w:hAnsi="Times New Roman" w:cs="Times New Roman"/>
          <w:color w:val="000000"/>
          <w:sz w:val="24"/>
          <w:szCs w:val="24"/>
          <w:lang w:val="lt-LT" w:eastAsia="ar-SA"/>
        </w:rPr>
      </w:pPr>
    </w:p>
    <w:p w:rsidR="00C24AFA" w:rsidRDefault="00C24AFA" w:rsidP="00C24AFA">
      <w:pPr>
        <w:suppressAutoHyphens/>
        <w:spacing w:after="0" w:line="360" w:lineRule="auto"/>
        <w:jc w:val="center"/>
        <w:rPr>
          <w:rFonts w:ascii="Times New Roman" w:eastAsia="Times New Roman" w:hAnsi="Times New Roman" w:cs="Times New Roman"/>
          <w:color w:val="000000"/>
          <w:sz w:val="24"/>
          <w:szCs w:val="24"/>
          <w:lang w:val="lt-LT" w:eastAsia="ar-SA"/>
        </w:rPr>
      </w:pPr>
    </w:p>
    <w:p w:rsidR="00C24AFA" w:rsidRDefault="00C24AFA" w:rsidP="00C24AFA">
      <w:pPr>
        <w:suppressAutoHyphens/>
        <w:spacing w:after="0" w:line="360" w:lineRule="auto"/>
        <w:jc w:val="center"/>
        <w:rPr>
          <w:rFonts w:ascii="Times New Roman" w:eastAsia="Times New Roman" w:hAnsi="Times New Roman" w:cs="Times New Roman"/>
          <w:color w:val="000000"/>
          <w:sz w:val="24"/>
          <w:szCs w:val="24"/>
          <w:lang w:val="lt-LT" w:eastAsia="ar-SA"/>
        </w:rPr>
      </w:pPr>
    </w:p>
    <w:p w:rsidR="00C24AFA" w:rsidRDefault="00C24AFA" w:rsidP="00C24AFA">
      <w:pPr>
        <w:suppressAutoHyphens/>
        <w:spacing w:after="0" w:line="360" w:lineRule="auto"/>
        <w:jc w:val="center"/>
        <w:rPr>
          <w:rFonts w:ascii="Times New Roman" w:eastAsia="Times New Roman" w:hAnsi="Times New Roman" w:cs="Times New Roman"/>
          <w:color w:val="000000"/>
          <w:sz w:val="24"/>
          <w:szCs w:val="24"/>
          <w:lang w:val="lt-LT" w:eastAsia="ar-SA"/>
        </w:rPr>
      </w:pPr>
    </w:p>
    <w:p w:rsidR="00C24AFA" w:rsidRDefault="00C24AFA" w:rsidP="00C24AFA">
      <w:pPr>
        <w:suppressAutoHyphens/>
        <w:spacing w:after="0" w:line="360" w:lineRule="auto"/>
        <w:jc w:val="center"/>
        <w:rPr>
          <w:rFonts w:ascii="Times New Roman" w:eastAsia="Times New Roman" w:hAnsi="Times New Roman" w:cs="Times New Roman"/>
          <w:color w:val="000000"/>
          <w:sz w:val="24"/>
          <w:szCs w:val="24"/>
          <w:lang w:val="lt-LT" w:eastAsia="ar-SA"/>
        </w:rPr>
      </w:pPr>
    </w:p>
    <w:p w:rsidR="00C24AFA" w:rsidRDefault="00C24AFA" w:rsidP="00C24AFA">
      <w:pPr>
        <w:suppressAutoHyphens/>
        <w:spacing w:after="0" w:line="360" w:lineRule="auto"/>
        <w:jc w:val="center"/>
        <w:rPr>
          <w:rFonts w:ascii="Times New Roman" w:eastAsia="Times New Roman" w:hAnsi="Times New Roman" w:cs="Times New Roman"/>
          <w:color w:val="000000"/>
          <w:sz w:val="24"/>
          <w:szCs w:val="24"/>
          <w:lang w:val="lt-LT" w:eastAsia="ar-SA"/>
        </w:rPr>
      </w:pPr>
    </w:p>
    <w:p w:rsidR="00C24AFA" w:rsidRDefault="00C24AFA" w:rsidP="00C24AFA">
      <w:pPr>
        <w:suppressAutoHyphens/>
        <w:spacing w:after="0" w:line="360" w:lineRule="auto"/>
        <w:jc w:val="center"/>
        <w:rPr>
          <w:rFonts w:ascii="Times New Roman" w:eastAsia="Times New Roman" w:hAnsi="Times New Roman" w:cs="Times New Roman"/>
          <w:color w:val="000000"/>
          <w:sz w:val="24"/>
          <w:szCs w:val="24"/>
          <w:lang w:val="lt-LT" w:eastAsia="ar-SA"/>
        </w:rPr>
      </w:pPr>
    </w:p>
    <w:p w:rsidR="00C24AFA" w:rsidRDefault="00C24AFA" w:rsidP="00C24AFA">
      <w:pPr>
        <w:suppressAutoHyphens/>
        <w:spacing w:after="0" w:line="360" w:lineRule="auto"/>
        <w:jc w:val="center"/>
        <w:rPr>
          <w:rFonts w:ascii="Times New Roman" w:eastAsia="Times New Roman" w:hAnsi="Times New Roman" w:cs="Times New Roman"/>
          <w:color w:val="000000"/>
          <w:sz w:val="24"/>
          <w:szCs w:val="24"/>
          <w:lang w:val="lt-LT" w:eastAsia="ar-SA"/>
        </w:rPr>
      </w:pPr>
    </w:p>
    <w:p w:rsidR="00C24AFA" w:rsidRDefault="00C24AFA" w:rsidP="00C24AFA">
      <w:pPr>
        <w:suppressAutoHyphens/>
        <w:spacing w:after="0" w:line="360" w:lineRule="auto"/>
        <w:jc w:val="center"/>
        <w:rPr>
          <w:rFonts w:ascii="Times New Roman" w:eastAsia="Times New Roman" w:hAnsi="Times New Roman" w:cs="Times New Roman"/>
          <w:color w:val="000000"/>
          <w:sz w:val="24"/>
          <w:szCs w:val="24"/>
          <w:lang w:val="lt-LT" w:eastAsia="ar-SA"/>
        </w:rPr>
      </w:pPr>
    </w:p>
    <w:p w:rsidR="00C24AFA" w:rsidRDefault="00C24AFA" w:rsidP="00C24AFA">
      <w:pPr>
        <w:suppressAutoHyphens/>
        <w:spacing w:after="0" w:line="360" w:lineRule="auto"/>
        <w:jc w:val="center"/>
        <w:rPr>
          <w:rFonts w:ascii="Times New Roman" w:eastAsia="Times New Roman" w:hAnsi="Times New Roman" w:cs="Times New Roman"/>
          <w:color w:val="000000"/>
          <w:sz w:val="24"/>
          <w:szCs w:val="24"/>
          <w:lang w:val="lt-LT" w:eastAsia="ar-SA"/>
        </w:rPr>
      </w:pPr>
    </w:p>
    <w:p w:rsidR="00C24AFA" w:rsidRDefault="00C24AFA" w:rsidP="00C24AFA">
      <w:pPr>
        <w:suppressAutoHyphens/>
        <w:spacing w:after="0" w:line="360" w:lineRule="auto"/>
        <w:jc w:val="center"/>
        <w:rPr>
          <w:rFonts w:ascii="Times New Roman" w:eastAsia="Times New Roman" w:hAnsi="Times New Roman" w:cs="Times New Roman"/>
          <w:color w:val="000000"/>
          <w:sz w:val="24"/>
          <w:szCs w:val="24"/>
          <w:lang w:val="lt-LT" w:eastAsia="ar-SA"/>
        </w:rPr>
      </w:pPr>
    </w:p>
    <w:p w:rsidR="00C24AFA" w:rsidRDefault="00C24AFA" w:rsidP="00C24AFA">
      <w:pPr>
        <w:suppressAutoHyphens/>
        <w:spacing w:after="0" w:line="360" w:lineRule="auto"/>
        <w:jc w:val="center"/>
        <w:rPr>
          <w:rFonts w:ascii="Times New Roman" w:eastAsia="Times New Roman" w:hAnsi="Times New Roman" w:cs="Times New Roman"/>
          <w:color w:val="000000"/>
          <w:sz w:val="24"/>
          <w:szCs w:val="24"/>
          <w:lang w:val="lt-LT" w:eastAsia="ar-SA"/>
        </w:rPr>
      </w:pPr>
    </w:p>
    <w:p w:rsidR="00C24AFA" w:rsidRDefault="00C24AFA" w:rsidP="00C24AFA">
      <w:pPr>
        <w:suppressAutoHyphens/>
        <w:spacing w:after="0" w:line="360" w:lineRule="auto"/>
        <w:jc w:val="center"/>
        <w:rPr>
          <w:rFonts w:ascii="Times New Roman" w:eastAsia="Times New Roman" w:hAnsi="Times New Roman" w:cs="Times New Roman"/>
          <w:color w:val="000000"/>
          <w:sz w:val="24"/>
          <w:szCs w:val="24"/>
          <w:lang w:val="lt-LT" w:eastAsia="ar-SA"/>
        </w:rPr>
      </w:pPr>
    </w:p>
    <w:p w:rsidR="00C24AFA" w:rsidRPr="00C24AFA" w:rsidRDefault="00C24AFA" w:rsidP="00C24AFA">
      <w:pPr>
        <w:suppressAutoHyphens/>
        <w:spacing w:after="0" w:line="360" w:lineRule="auto"/>
        <w:jc w:val="center"/>
        <w:rPr>
          <w:rFonts w:ascii="Times New Roman" w:eastAsia="Times New Roman" w:hAnsi="Times New Roman" w:cs="Times New Roman"/>
          <w:sz w:val="24"/>
          <w:szCs w:val="24"/>
          <w:lang w:val="lt-LT" w:eastAsia="ar-SA"/>
        </w:rPr>
      </w:pPr>
      <w:r w:rsidRPr="00C24AFA">
        <w:rPr>
          <w:rFonts w:ascii="Times New Roman" w:eastAsia="Times New Roman" w:hAnsi="Times New Roman" w:cs="Times New Roman"/>
          <w:color w:val="000000"/>
          <w:sz w:val="24"/>
          <w:szCs w:val="24"/>
          <w:lang w:val="lt-LT" w:eastAsia="ar-SA"/>
        </w:rPr>
        <w:lastRenderedPageBreak/>
        <w:t>Skleidžiamo kvapo</w:t>
      </w:r>
      <w:r w:rsidRPr="00C24AFA">
        <w:rPr>
          <w:rFonts w:ascii="Times New Roman" w:eastAsia="Times New Roman" w:hAnsi="Times New Roman" w:cs="Times New Roman"/>
          <w:sz w:val="24"/>
          <w:szCs w:val="24"/>
          <w:lang w:val="lt-LT" w:eastAsia="ar-SA"/>
        </w:rPr>
        <w:t xml:space="preserve"> koncentracijų (OUE/m</w:t>
      </w:r>
      <w:r w:rsidRPr="00C24AFA">
        <w:rPr>
          <w:rFonts w:ascii="Times New Roman" w:eastAsia="Times New Roman" w:hAnsi="Times New Roman" w:cs="Times New Roman"/>
          <w:sz w:val="24"/>
          <w:szCs w:val="24"/>
          <w:vertAlign w:val="superscript"/>
          <w:lang w:val="lt-LT" w:eastAsia="ar-SA"/>
        </w:rPr>
        <w:t>3</w:t>
      </w:r>
      <w:r w:rsidRPr="00C24AFA">
        <w:rPr>
          <w:rFonts w:ascii="Times New Roman" w:eastAsia="Times New Roman" w:hAnsi="Times New Roman" w:cs="Times New Roman"/>
          <w:sz w:val="24"/>
          <w:szCs w:val="24"/>
          <w:lang w:val="lt-LT" w:eastAsia="ar-SA"/>
        </w:rPr>
        <w:t>) sklaidos prognozavimas – maksimali 1 valandos koncentracija neįvertinus foninių koncentracijų</w:t>
      </w:r>
    </w:p>
    <w:p w:rsidR="00C24AFA" w:rsidRPr="00C24AFA" w:rsidRDefault="00C24AFA" w:rsidP="00C24AFA">
      <w:pPr>
        <w:suppressAutoHyphens/>
        <w:spacing w:after="120" w:line="360" w:lineRule="auto"/>
        <w:rPr>
          <w:rFonts w:ascii="Times New Roman" w:eastAsia="Times New Roman" w:hAnsi="Times New Roman" w:cs="Times New Roman"/>
          <w:sz w:val="24"/>
          <w:szCs w:val="24"/>
          <w:lang w:val="lt-LT" w:eastAsia="ar-SA"/>
        </w:rPr>
      </w:pPr>
      <w:r>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4000500</wp:posOffset>
                </wp:positionH>
                <wp:positionV relativeFrom="paragraph">
                  <wp:posOffset>2236470</wp:posOffset>
                </wp:positionV>
                <wp:extent cx="1170940" cy="377825"/>
                <wp:effectExtent l="76200" t="17145" r="10160" b="7175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70940" cy="377825"/>
                        </a:xfrm>
                        <a:prstGeom prst="line">
                          <a:avLst/>
                        </a:prstGeom>
                        <a:noFill/>
                        <a:ln w="19050">
                          <a:solidFill>
                            <a:srgbClr val="000000"/>
                          </a:solidFill>
                          <a:round/>
                          <a:headEn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76.1pt" to="407.2pt,20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" strokeweight="1.5pt">
                <v:stroke endarrow="oval"/>
              </v:lin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4190365</wp:posOffset>
                </wp:positionH>
                <wp:positionV relativeFrom="paragraph">
                  <wp:posOffset>1939925</wp:posOffset>
                </wp:positionV>
                <wp:extent cx="1781175" cy="476250"/>
                <wp:effectExtent l="8890" t="6350" r="1016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476250"/>
                        </a:xfrm>
                        <a:prstGeom prst="rect">
                          <a:avLst/>
                        </a:prstGeom>
                        <a:solidFill>
                          <a:srgbClr val="FFFFFF"/>
                        </a:solidFill>
                        <a:ln w="9525">
                          <a:solidFill>
                            <a:srgbClr val="000000"/>
                          </a:solidFill>
                          <a:miter lim="800000"/>
                          <a:headEnd/>
                          <a:tailEnd/>
                        </a:ln>
                      </wps:spPr>
                      <wps:txbx>
                        <w:txbxContent>
                          <w:p w:rsidR="00C24AFA" w:rsidRPr="00645F67" w:rsidRDefault="00C24AFA" w:rsidP="00C24AFA">
                            <w:r>
                              <w:t>UAB „</w:t>
                            </w:r>
                            <w:proofErr w:type="spellStart"/>
                            <w:r>
                              <w:t>Smokvila</w:t>
                            </w:r>
                            <w:proofErr w:type="spellEnd"/>
                            <w:proofErr w:type="gramStart"/>
                            <w:r>
                              <w:t>“ PŪV</w:t>
                            </w:r>
                            <w:proofErr w:type="gramEnd"/>
                            <w:r>
                              <w:t xml:space="preserve"> </w:t>
                            </w:r>
                            <w:proofErr w:type="spellStart"/>
                            <w:r>
                              <w:t>sklypų</w:t>
                            </w:r>
                            <w:proofErr w:type="spellEnd"/>
                            <w:r>
                              <w:t xml:space="preserve"> </w:t>
                            </w:r>
                            <w:proofErr w:type="spellStart"/>
                            <w:r>
                              <w:t>ribos</w:t>
                            </w:r>
                            <w:proofErr w:type="spellEnd"/>
                          </w:p>
                          <w:p w:rsidR="00C24AFA" w:rsidRPr="00F161BD" w:rsidRDefault="00C24AFA" w:rsidP="00C24A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29.95pt;margin-top:152.75pt;width:140.25pt;height: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">
                <v:textbox>
                  <w:txbxContent>
                    <w:p w:rsidR="00C24AFA" w:rsidRPr="00645F67" w:rsidRDefault="00C24AFA" w:rsidP="00C24AFA">
                      <w:r>
                        <w:t>UAB „</w:t>
                      </w:r>
                      <w:proofErr w:type="spellStart"/>
                      <w:r>
                        <w:t>Smokvila</w:t>
                      </w:r>
                      <w:proofErr w:type="spellEnd"/>
                      <w:proofErr w:type="gramStart"/>
                      <w:r>
                        <w:t>“ PŪV</w:t>
                      </w:r>
                      <w:proofErr w:type="gramEnd"/>
                      <w:r>
                        <w:t xml:space="preserve"> </w:t>
                      </w:r>
                      <w:proofErr w:type="spellStart"/>
                      <w:r>
                        <w:t>sklypų</w:t>
                      </w:r>
                      <w:proofErr w:type="spellEnd"/>
                      <w:r>
                        <w:t xml:space="preserve"> </w:t>
                      </w:r>
                      <w:proofErr w:type="spellStart"/>
                      <w:r>
                        <w:t>ribos</w:t>
                      </w:r>
                      <w:proofErr w:type="spellEnd"/>
                    </w:p>
                    <w:p w:rsidR="00C24AFA" w:rsidRPr="00F161BD" w:rsidRDefault="00C24AFA" w:rsidP="00C24AFA"/>
                  </w:txbxContent>
                </v:textbox>
              </v:shape>
            </w:pict>
          </mc:Fallback>
        </mc:AlternateContent>
      </w:r>
      <w:r>
        <w:rPr>
          <w:rFonts w:ascii="Times New Roman" w:eastAsia="Times New Roman" w:hAnsi="Times New Roman" w:cs="Times New Roman"/>
          <w:noProof/>
          <w:sz w:val="24"/>
          <w:szCs w:val="24"/>
        </w:rPr>
        <w:drawing>
          <wp:inline distT="0" distB="0" distL="0" distR="0">
            <wp:extent cx="6111240" cy="6283325"/>
            <wp:effectExtent l="0" t="0" r="381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11240" cy="6283325"/>
                    </a:xfrm>
                    <a:prstGeom prst="rect">
                      <a:avLst/>
                    </a:prstGeom>
                    <a:noFill/>
                    <a:ln>
                      <a:noFill/>
                    </a:ln>
                  </pic:spPr>
                </pic:pic>
              </a:graphicData>
            </a:graphic>
          </wp:inline>
        </w:drawing>
      </w:r>
    </w:p>
    <w:p w:rsidR="002637B3" w:rsidRDefault="00C24AFA" w:rsidP="00C24AFA">
      <w:pPr>
        <w:suppressAutoHyphens/>
        <w:spacing w:after="120" w:line="360" w:lineRule="auto"/>
        <w:ind w:firstLine="567"/>
        <w:jc w:val="both"/>
      </w:pPr>
      <w:r w:rsidRPr="00C24AFA">
        <w:rPr>
          <w:rFonts w:ascii="Times New Roman" w:eastAsia="Times New Roman" w:hAnsi="Times New Roman" w:cs="Times New Roman"/>
          <w:sz w:val="24"/>
          <w:szCs w:val="24"/>
          <w:lang w:val="lt-LT" w:eastAsia="ar-SA"/>
        </w:rPr>
        <w:t xml:space="preserve">Maksimali 1 valandos kvapo koncentracija taikant 98,08 </w:t>
      </w:r>
      <w:proofErr w:type="spellStart"/>
      <w:r w:rsidRPr="00C24AFA">
        <w:rPr>
          <w:rFonts w:ascii="Times New Roman" w:eastAsia="Times New Roman" w:hAnsi="Times New Roman" w:cs="Times New Roman"/>
          <w:sz w:val="24"/>
          <w:szCs w:val="24"/>
          <w:lang w:val="lt-LT" w:eastAsia="ar-SA"/>
        </w:rPr>
        <w:t>procentilį</w:t>
      </w:r>
      <w:proofErr w:type="spellEnd"/>
      <w:r w:rsidRPr="00C24AFA">
        <w:rPr>
          <w:rFonts w:ascii="Times New Roman" w:eastAsia="Times New Roman" w:hAnsi="Times New Roman" w:cs="Times New Roman"/>
          <w:sz w:val="24"/>
          <w:szCs w:val="24"/>
          <w:lang w:val="lt-LT" w:eastAsia="ar-SA"/>
        </w:rPr>
        <w:t xml:space="preserve"> aplinkinėse teritorijose, sudaro be fono: 0.00868 OUE/m</w:t>
      </w:r>
      <w:r w:rsidRPr="00C24AFA">
        <w:rPr>
          <w:rFonts w:ascii="Times New Roman" w:eastAsia="Times New Roman" w:hAnsi="Times New Roman" w:cs="Times New Roman"/>
          <w:sz w:val="24"/>
          <w:szCs w:val="24"/>
          <w:vertAlign w:val="superscript"/>
          <w:lang w:val="lt-LT" w:eastAsia="ar-SA"/>
        </w:rPr>
        <w:t>3</w:t>
      </w:r>
      <w:r w:rsidRPr="00C24AFA">
        <w:rPr>
          <w:rFonts w:ascii="Times New Roman" w:eastAsia="Times New Roman" w:hAnsi="Times New Roman" w:cs="Times New Roman"/>
          <w:sz w:val="24"/>
          <w:szCs w:val="24"/>
          <w:lang w:val="lt-LT" w:eastAsia="ar-SA"/>
        </w:rPr>
        <w:t xml:space="preserve"> (0,001 RV, kai RV = 8 OUE/m</w:t>
      </w:r>
      <w:r w:rsidRPr="00C24AFA">
        <w:rPr>
          <w:rFonts w:ascii="Times New Roman" w:eastAsia="Times New Roman" w:hAnsi="Times New Roman" w:cs="Times New Roman"/>
          <w:sz w:val="24"/>
          <w:szCs w:val="24"/>
          <w:vertAlign w:val="superscript"/>
          <w:lang w:val="lt-LT" w:eastAsia="ar-SA"/>
        </w:rPr>
        <w:t>3</w:t>
      </w:r>
      <w:r w:rsidRPr="00C24AFA">
        <w:rPr>
          <w:rFonts w:ascii="Times New Roman" w:eastAsia="Times New Roman" w:hAnsi="Times New Roman" w:cs="Times New Roman"/>
          <w:sz w:val="24"/>
          <w:szCs w:val="24"/>
          <w:lang w:val="lt-LT" w:eastAsia="ar-SA"/>
        </w:rPr>
        <w:t>). Ji pasiekiama 3-20 m atstumu visomis kryptimis nuo taršos šaltinių (tarp planuojamų statyti paukštidžių). Tai yra didžiausia koncentracija, kuri susidaro eksploatuojant įrenginius, esant nepala</w:t>
      </w:r>
      <w:r>
        <w:rPr>
          <w:rFonts w:ascii="Times New Roman" w:eastAsia="Times New Roman" w:hAnsi="Times New Roman" w:cs="Times New Roman"/>
          <w:sz w:val="24"/>
          <w:szCs w:val="24"/>
          <w:lang w:val="lt-LT" w:eastAsia="ar-SA"/>
        </w:rPr>
        <w:t>nkioms meteorologinėms sąlygoms.</w:t>
      </w:r>
      <w:r w:rsidRPr="00C24AFA">
        <w:rPr>
          <w:rFonts w:ascii="Times New Roman" w:eastAsia="Times New Roman" w:hAnsi="Times New Roman" w:cs="Times New Roman"/>
          <w:b/>
          <w:sz w:val="24"/>
          <w:szCs w:val="24"/>
          <w:lang w:val="lt-LT" w:eastAsia="ar-SA"/>
        </w:rPr>
        <w:t xml:space="preserve"> </w:t>
      </w:r>
      <w:bookmarkStart w:id="0" w:name="_GoBack"/>
      <w:bookmarkEnd w:id="0"/>
    </w:p>
    <w:sectPr w:rsidR="002637B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AFA"/>
    <w:rsid w:val="002637B3"/>
    <w:rsid w:val="00AD50CD"/>
    <w:rsid w:val="00C24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4A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A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4A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A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422</Words>
  <Characters>2410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2017-02-15T04:21:00Z</dcterms:created>
  <dcterms:modified xsi:type="dcterms:W3CDTF">2017-02-15T04:22:00Z</dcterms:modified>
</cp:coreProperties>
</file>